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C4D" w:rsidRPr="00665877" w:rsidRDefault="00150831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175895</wp:posOffset>
                </wp:positionV>
                <wp:extent cx="5337810" cy="488315"/>
                <wp:effectExtent l="9525" t="8890" r="5715" b="76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781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C19" w:rsidRDefault="00925C19">
                            <w:r w:rsidRPr="00665877">
                              <w:rPr>
                                <w:rFonts w:asciiTheme="majorEastAsia" w:eastAsiaTheme="majorEastAsia" w:hAnsiTheme="majorEastAsia" w:hint="eastAsia"/>
                              </w:rPr>
                              <w:t>教育目標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pt;margin-top:13.85pt;width:420.3pt;height:3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">
                <v:textbox inset="5.85pt,.7pt,5.85pt,.7pt">
                  <w:txbxContent>
                    <w:p w:rsidR="00925C19" w:rsidRDefault="00925C19">
                      <w:r w:rsidRPr="00665877">
                        <w:rPr>
                          <w:rFonts w:asciiTheme="majorEastAsia" w:eastAsiaTheme="majorEastAsia" w:hAnsiTheme="majorEastAsia" w:hint="eastAsia"/>
                        </w:rPr>
                        <w:t>教育目標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2757E1">
        <w:rPr>
          <w:rFonts w:asciiTheme="majorEastAsia" w:eastAsiaTheme="majorEastAsia" w:hAnsiTheme="majorEastAsia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9296218</wp:posOffset>
            </wp:positionH>
            <wp:positionV relativeFrom="paragraph">
              <wp:posOffset>-144455</wp:posOffset>
            </wp:positionV>
            <wp:extent cx="848185" cy="877230"/>
            <wp:effectExtent l="19050" t="0" r="9065" b="0"/>
            <wp:wrapNone/>
            <wp:docPr id="1" name="図 1" descr="http://www.tochigi-edu.ed.jp/yaitahigashi/nct2/?action=common_download_main&amp;upload_id=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chigi-edu.ed.jp/yaitahigashi/nct2/?action=common_download_main&amp;upload_id=6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85" cy="87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22C4">
        <w:rPr>
          <w:rFonts w:asciiTheme="majorEastAsia" w:eastAsiaTheme="majorEastAsia" w:hAnsiTheme="majorEastAsia" w:hint="eastAsia"/>
          <w:sz w:val="24"/>
          <w:szCs w:val="24"/>
        </w:rPr>
        <w:t>平</w:t>
      </w:r>
      <w:r w:rsidR="009F722A">
        <w:rPr>
          <w:rFonts w:asciiTheme="majorEastAsia" w:eastAsiaTheme="majorEastAsia" w:hAnsiTheme="majorEastAsia" w:hint="eastAsia"/>
          <w:sz w:val="24"/>
          <w:szCs w:val="24"/>
        </w:rPr>
        <w:t>成</w:t>
      </w:r>
      <w:r w:rsidR="00DD3DBD">
        <w:rPr>
          <w:rFonts w:asciiTheme="majorEastAsia" w:eastAsiaTheme="majorEastAsia" w:hAnsiTheme="majorEastAsia" w:hint="eastAsia"/>
          <w:sz w:val="24"/>
          <w:szCs w:val="24"/>
        </w:rPr>
        <w:t>30</w:t>
      </w:r>
      <w:r w:rsidR="00665877" w:rsidRPr="00665877">
        <w:rPr>
          <w:rFonts w:asciiTheme="majorEastAsia" w:eastAsiaTheme="majorEastAsia" w:hAnsiTheme="majorEastAsia" w:hint="eastAsia"/>
          <w:sz w:val="24"/>
          <w:szCs w:val="24"/>
        </w:rPr>
        <w:t>年度　栃木県立矢板東高等学校定時制課程　学校評価シート</w:t>
      </w:r>
    </w:p>
    <w:p w:rsidR="00665877" w:rsidRDefault="00283080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863337</wp:posOffset>
            </wp:positionH>
            <wp:positionV relativeFrom="paragraph">
              <wp:posOffset>44636</wp:posOffset>
            </wp:positionV>
            <wp:extent cx="2880267" cy="394010"/>
            <wp:effectExtent l="19050" t="0" r="0" b="0"/>
            <wp:wrapNone/>
            <wp:docPr id="4" name="図 4" descr="教育目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教育目標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267" cy="39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5877" w:rsidRDefault="00150831" w:rsidP="0066587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5594350</wp:posOffset>
                </wp:positionH>
                <wp:positionV relativeFrom="paragraph">
                  <wp:posOffset>76200</wp:posOffset>
                </wp:positionV>
                <wp:extent cx="1777365" cy="979170"/>
                <wp:effectExtent l="10795" t="10160" r="12065" b="1079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C19" w:rsidRDefault="00925C19">
                            <w:r>
                              <w:rPr>
                                <w:rFonts w:hint="eastAsia"/>
                              </w:rPr>
                              <w:t>達成度</w:t>
                            </w:r>
                          </w:p>
                          <w:p w:rsidR="00925C19" w:rsidRPr="00B8728B" w:rsidRDefault="00925C1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Ａ</w:t>
                            </w:r>
                            <w:r w:rsidRPr="00B8728B">
                              <w:rPr>
                                <w:rFonts w:asciiTheme="minorEastAsia" w:hAnsiTheme="minorEastAsia" w:hint="eastAsia"/>
                              </w:rPr>
                              <w:t xml:space="preserve">　ほぼ達成（8割以上）</w:t>
                            </w:r>
                          </w:p>
                          <w:p w:rsidR="00925C19" w:rsidRPr="00B8728B" w:rsidRDefault="00925C1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Ｂ</w:t>
                            </w:r>
                            <w:r w:rsidRPr="00B8728B">
                              <w:rPr>
                                <w:rFonts w:asciiTheme="minorEastAsia" w:hAnsiTheme="minorEastAsia" w:hint="eastAsia"/>
                              </w:rPr>
                              <w:t xml:space="preserve">　概ね達成（6割以上）</w:t>
                            </w:r>
                          </w:p>
                          <w:p w:rsidR="00925C19" w:rsidRPr="00B8728B" w:rsidRDefault="00925C1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Ｃ</w:t>
                            </w:r>
                            <w:r w:rsidRPr="00B8728B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変化の兆し</w:t>
                            </w:r>
                            <w:r w:rsidRPr="00B8728B">
                              <w:rPr>
                                <w:rFonts w:asciiTheme="minorEastAsia" w:hAnsiTheme="minorEastAsia" w:hint="eastAsia"/>
                              </w:rPr>
                              <w:t>（3割以上）</w:t>
                            </w:r>
                          </w:p>
                          <w:p w:rsidR="00925C19" w:rsidRPr="00B8728B" w:rsidRDefault="00925C1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Ｄ</w:t>
                            </w:r>
                            <w:r w:rsidRPr="00B8728B">
                              <w:rPr>
                                <w:rFonts w:asciiTheme="minorEastAsia" w:hAnsiTheme="minorEastAsia" w:hint="eastAsia"/>
                              </w:rPr>
                              <w:t xml:space="preserve">　不十分（3割未満）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40.5pt;margin-top:6pt;width:139.95pt;height:7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">
                <v:textbox inset="5.85pt,.7pt,5.85pt,.7pt">
                  <w:txbxContent>
                    <w:p w:rsidR="00925C19" w:rsidRDefault="00925C19">
                      <w:r>
                        <w:rPr>
                          <w:rFonts w:hint="eastAsia"/>
                        </w:rPr>
                        <w:t>達成度</w:t>
                      </w:r>
                    </w:p>
                    <w:p w:rsidR="00925C19" w:rsidRPr="00B8728B" w:rsidRDefault="00925C19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Ａ</w:t>
                      </w:r>
                      <w:r w:rsidRPr="00B8728B">
                        <w:rPr>
                          <w:rFonts w:asciiTheme="minorEastAsia" w:hAnsiTheme="minorEastAsia" w:hint="eastAsia"/>
                        </w:rPr>
                        <w:t xml:space="preserve">　ほぼ達成（8割以上）</w:t>
                      </w:r>
                    </w:p>
                    <w:p w:rsidR="00925C19" w:rsidRPr="00B8728B" w:rsidRDefault="00925C19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Ｂ</w:t>
                      </w:r>
                      <w:r w:rsidRPr="00B8728B">
                        <w:rPr>
                          <w:rFonts w:asciiTheme="minorEastAsia" w:hAnsiTheme="minorEastAsia" w:hint="eastAsia"/>
                        </w:rPr>
                        <w:t xml:space="preserve">　概ね達成（6割以上）</w:t>
                      </w:r>
                    </w:p>
                    <w:p w:rsidR="00925C19" w:rsidRPr="00B8728B" w:rsidRDefault="00925C19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Ｃ</w:t>
                      </w:r>
                      <w:r w:rsidRPr="00B8728B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</w:rPr>
                        <w:t>変化の兆し</w:t>
                      </w:r>
                      <w:r w:rsidRPr="00B8728B">
                        <w:rPr>
                          <w:rFonts w:asciiTheme="minorEastAsia" w:hAnsiTheme="minorEastAsia" w:hint="eastAsia"/>
                        </w:rPr>
                        <w:t>（3割以上）</w:t>
                      </w:r>
                    </w:p>
                    <w:p w:rsidR="00925C19" w:rsidRPr="00B8728B" w:rsidRDefault="00925C19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Ｄ</w:t>
                      </w:r>
                      <w:r w:rsidRPr="00B8728B">
                        <w:rPr>
                          <w:rFonts w:asciiTheme="minorEastAsia" w:hAnsiTheme="minorEastAsia" w:hint="eastAsia"/>
                        </w:rPr>
                        <w:t xml:space="preserve">　不十分（3割未満）</w:t>
                      </w:r>
                    </w:p>
                  </w:txbxContent>
                </v:textbox>
              </v:shape>
            </w:pict>
          </mc:Fallback>
        </mc:AlternateContent>
      </w:r>
    </w:p>
    <w:p w:rsidR="00665877" w:rsidRDefault="00665877"/>
    <w:p w:rsidR="00665877" w:rsidRDefault="001508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24130</wp:posOffset>
                </wp:positionV>
                <wp:extent cx="5337810" cy="723900"/>
                <wp:effectExtent l="9525" t="12065" r="5715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781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C19" w:rsidRPr="00665877" w:rsidRDefault="00925C1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65877">
                              <w:rPr>
                                <w:rFonts w:asciiTheme="majorEastAsia" w:eastAsiaTheme="majorEastAsia" w:hAnsiTheme="majorEastAsia" w:hint="eastAsia"/>
                              </w:rPr>
                              <w:t>本年度の重点目標</w:t>
                            </w:r>
                          </w:p>
                          <w:p w:rsidR="00925C19" w:rsidRDefault="00925C19" w:rsidP="00CD3D18">
                            <w:r>
                              <w:rPr>
                                <w:rFonts w:hint="eastAsia"/>
                              </w:rPr>
                              <w:t xml:space="preserve">　１　学習指導の強化…基礎基本の定着、学び直しの支援</w:t>
                            </w:r>
                          </w:p>
                          <w:p w:rsidR="00925C19" w:rsidRDefault="00925C19" w:rsidP="00CD3D18">
                            <w:r>
                              <w:rPr>
                                <w:rFonts w:hint="eastAsia"/>
                              </w:rPr>
                              <w:t xml:space="preserve">　２　生徒指導の充実…規律ある生活、基本的生活習慣の確立</w:t>
                            </w:r>
                          </w:p>
                          <w:p w:rsidR="00925C19" w:rsidRDefault="00925C19">
                            <w:r>
                              <w:rPr>
                                <w:rFonts w:hint="eastAsia"/>
                              </w:rPr>
                              <w:t xml:space="preserve">　３　進路指導の改善…進路目標の明確化と職業観・勤労観の育成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.9pt;margin-top:1.9pt;width:420.3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">
                <v:textbox inset="5.85pt,.7pt,5.85pt,.7pt">
                  <w:txbxContent>
                    <w:p w:rsidR="00925C19" w:rsidRPr="00665877" w:rsidRDefault="00925C1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65877">
                        <w:rPr>
                          <w:rFonts w:asciiTheme="majorEastAsia" w:eastAsiaTheme="majorEastAsia" w:hAnsiTheme="majorEastAsia" w:hint="eastAsia"/>
                        </w:rPr>
                        <w:t>本年度の重点目標</w:t>
                      </w:r>
                    </w:p>
                    <w:p w:rsidR="00925C19" w:rsidRDefault="00925C19" w:rsidP="00CD3D18">
                      <w:r>
                        <w:rPr>
                          <w:rFonts w:hint="eastAsia"/>
                        </w:rPr>
                        <w:t xml:space="preserve">　１　学習指導の強化…基礎基本の定着、学び直しの支援</w:t>
                      </w:r>
                    </w:p>
                    <w:p w:rsidR="00925C19" w:rsidRDefault="00925C19" w:rsidP="00CD3D18">
                      <w:r>
                        <w:rPr>
                          <w:rFonts w:hint="eastAsia"/>
                        </w:rPr>
                        <w:t xml:space="preserve">　２　生徒指導の充実…規律ある生活、基本的生活習慣の確立</w:t>
                      </w:r>
                    </w:p>
                    <w:p w:rsidR="00925C19" w:rsidRDefault="00925C19">
                      <w:r>
                        <w:rPr>
                          <w:rFonts w:hint="eastAsia"/>
                        </w:rPr>
                        <w:t xml:space="preserve">　３　進路指導の改善…進路目標の明確化と職業観・勤労観の育成</w:t>
                      </w:r>
                    </w:p>
                  </w:txbxContent>
                </v:textbox>
              </v:shape>
            </w:pict>
          </mc:Fallback>
        </mc:AlternateContent>
      </w:r>
    </w:p>
    <w:p w:rsidR="00665877" w:rsidRDefault="00665877"/>
    <w:p w:rsidR="00665877" w:rsidRDefault="00665877"/>
    <w:p w:rsidR="00665877" w:rsidRDefault="00665877"/>
    <w:p w:rsidR="00665877" w:rsidRDefault="00665877"/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276"/>
        <w:gridCol w:w="2410"/>
        <w:gridCol w:w="1984"/>
        <w:gridCol w:w="1843"/>
        <w:gridCol w:w="709"/>
        <w:gridCol w:w="2031"/>
        <w:gridCol w:w="237"/>
        <w:gridCol w:w="2410"/>
      </w:tblGrid>
      <w:tr w:rsidR="0010759E" w:rsidTr="00FC077C">
        <w:tc>
          <w:tcPr>
            <w:tcW w:w="13196" w:type="dxa"/>
            <w:gridSpan w:val="8"/>
            <w:shd w:val="clear" w:color="auto" w:fill="D9D9D9" w:themeFill="background1" w:themeFillShade="D9"/>
            <w:vAlign w:val="center"/>
          </w:tcPr>
          <w:p w:rsidR="0010759E" w:rsidRPr="0010759E" w:rsidRDefault="0010759E" w:rsidP="0010759E">
            <w:pPr>
              <w:jc w:val="center"/>
              <w:rPr>
                <w:rFonts w:asciiTheme="majorEastAsia" w:eastAsiaTheme="majorEastAsia" w:hAnsiTheme="majorEastAsia"/>
              </w:rPr>
            </w:pPr>
            <w:r w:rsidRPr="0010759E">
              <w:rPr>
                <w:rFonts w:asciiTheme="majorEastAsia" w:eastAsiaTheme="majorEastAsia" w:hAnsiTheme="majorEastAsia" w:hint="eastAsia"/>
              </w:rPr>
              <w:t>学　　校　　自　　己　　評</w:t>
            </w:r>
            <w:r w:rsidR="00B44B7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0759E">
              <w:rPr>
                <w:rFonts w:asciiTheme="majorEastAsia" w:eastAsiaTheme="majorEastAsia" w:hAnsiTheme="majorEastAsia" w:hint="eastAsia"/>
              </w:rPr>
              <w:t xml:space="preserve">　価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:rsidR="0010759E" w:rsidRDefault="0010759E"/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0759E" w:rsidRPr="0010759E" w:rsidRDefault="0010759E" w:rsidP="00665877">
            <w:pPr>
              <w:jc w:val="center"/>
              <w:rPr>
                <w:rFonts w:asciiTheme="majorEastAsia" w:eastAsiaTheme="majorEastAsia" w:hAnsiTheme="majorEastAsia"/>
              </w:rPr>
            </w:pPr>
            <w:r w:rsidRPr="0010759E">
              <w:rPr>
                <w:rFonts w:asciiTheme="majorEastAsia" w:eastAsiaTheme="majorEastAsia" w:hAnsiTheme="majorEastAsia" w:hint="eastAsia"/>
              </w:rPr>
              <w:t>学校関係者評価</w:t>
            </w:r>
          </w:p>
        </w:tc>
      </w:tr>
      <w:tr w:rsidR="0010759E" w:rsidTr="00FC077C">
        <w:tc>
          <w:tcPr>
            <w:tcW w:w="8613" w:type="dxa"/>
            <w:gridSpan w:val="5"/>
            <w:vAlign w:val="center"/>
          </w:tcPr>
          <w:p w:rsidR="0010759E" w:rsidRDefault="00751A6A" w:rsidP="0010759E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0759E">
              <w:rPr>
                <w:rFonts w:hint="eastAsia"/>
              </w:rPr>
              <w:t>現状と学校評価実施計画</w:t>
            </w:r>
          </w:p>
        </w:tc>
        <w:tc>
          <w:tcPr>
            <w:tcW w:w="4583" w:type="dxa"/>
            <w:gridSpan w:val="3"/>
            <w:vAlign w:val="center"/>
          </w:tcPr>
          <w:p w:rsidR="0010759E" w:rsidRPr="0010759E" w:rsidRDefault="0010759E" w:rsidP="0010759E">
            <w:pPr>
              <w:jc w:val="center"/>
            </w:pPr>
            <w:r>
              <w:rPr>
                <w:rFonts w:hint="eastAsia"/>
              </w:rPr>
              <w:t>達成状況と改善策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:rsidR="0010759E" w:rsidRDefault="0010759E"/>
        </w:tc>
        <w:tc>
          <w:tcPr>
            <w:tcW w:w="2410" w:type="dxa"/>
            <w:vAlign w:val="center"/>
          </w:tcPr>
          <w:p w:rsidR="0010759E" w:rsidRPr="00665877" w:rsidRDefault="0010759E" w:rsidP="00DD3DBD">
            <w:pPr>
              <w:rPr>
                <w:sz w:val="18"/>
                <w:szCs w:val="18"/>
              </w:rPr>
            </w:pPr>
            <w:r w:rsidRPr="00665877">
              <w:rPr>
                <w:rFonts w:hint="eastAsia"/>
                <w:sz w:val="18"/>
                <w:szCs w:val="18"/>
              </w:rPr>
              <w:t>実施日</w:t>
            </w:r>
            <w:r w:rsidR="00540B3A">
              <w:rPr>
                <w:rFonts w:hint="eastAsia"/>
                <w:sz w:val="18"/>
                <w:szCs w:val="18"/>
              </w:rPr>
              <w:t xml:space="preserve"> </w:t>
            </w:r>
            <w:r w:rsidR="003F3A74" w:rsidRPr="00540B3A">
              <w:rPr>
                <w:rFonts w:asciiTheme="minorEastAsia" w:hAnsiTheme="minorEastAsia" w:hint="eastAsia"/>
                <w:sz w:val="18"/>
                <w:szCs w:val="18"/>
              </w:rPr>
              <w:t>平成</w:t>
            </w:r>
            <w:r w:rsidR="00DD3DB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540B3A" w:rsidRPr="00540B3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DD3DB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F3A74" w:rsidRPr="00540B3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DD3DB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F3A74" w:rsidRPr="00540B3A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E97FC0" w:rsidTr="00FC077C">
        <w:tc>
          <w:tcPr>
            <w:tcW w:w="534" w:type="dxa"/>
            <w:vAlign w:val="center"/>
          </w:tcPr>
          <w:p w:rsidR="00665877" w:rsidRPr="0010759E" w:rsidRDefault="00665877" w:rsidP="00086FB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0759E">
              <w:rPr>
                <w:rFonts w:hint="eastAsia"/>
                <w:sz w:val="18"/>
                <w:szCs w:val="18"/>
              </w:rPr>
              <w:t>No</w:t>
            </w:r>
          </w:p>
        </w:tc>
        <w:tc>
          <w:tcPr>
            <w:tcW w:w="2409" w:type="dxa"/>
            <w:vAlign w:val="center"/>
          </w:tcPr>
          <w:p w:rsidR="00665877" w:rsidRPr="0010759E" w:rsidRDefault="00665877" w:rsidP="00086FB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0759E">
              <w:rPr>
                <w:rFonts w:hint="eastAsia"/>
                <w:sz w:val="18"/>
                <w:szCs w:val="18"/>
              </w:rPr>
              <w:t>現状と課題</w:t>
            </w:r>
          </w:p>
        </w:tc>
        <w:tc>
          <w:tcPr>
            <w:tcW w:w="1276" w:type="dxa"/>
            <w:vAlign w:val="center"/>
          </w:tcPr>
          <w:p w:rsidR="00665877" w:rsidRPr="0010759E" w:rsidRDefault="00665877" w:rsidP="00086FB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0759E">
              <w:rPr>
                <w:rFonts w:hint="eastAsia"/>
                <w:sz w:val="18"/>
                <w:szCs w:val="18"/>
              </w:rPr>
              <w:t>評価項目</w:t>
            </w:r>
          </w:p>
        </w:tc>
        <w:tc>
          <w:tcPr>
            <w:tcW w:w="2410" w:type="dxa"/>
            <w:vAlign w:val="center"/>
          </w:tcPr>
          <w:p w:rsidR="00665877" w:rsidRPr="0010759E" w:rsidRDefault="00665877" w:rsidP="00086FB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0759E">
              <w:rPr>
                <w:rFonts w:hint="eastAsia"/>
                <w:sz w:val="18"/>
                <w:szCs w:val="18"/>
              </w:rPr>
              <w:t>具体的方策</w:t>
            </w:r>
          </w:p>
        </w:tc>
        <w:tc>
          <w:tcPr>
            <w:tcW w:w="1984" w:type="dxa"/>
            <w:vAlign w:val="center"/>
          </w:tcPr>
          <w:p w:rsidR="00F82F48" w:rsidRDefault="00665877" w:rsidP="00086FB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0759E">
              <w:rPr>
                <w:rFonts w:hint="eastAsia"/>
                <w:sz w:val="18"/>
                <w:szCs w:val="18"/>
              </w:rPr>
              <w:t>方策の</w:t>
            </w:r>
          </w:p>
          <w:p w:rsidR="00665877" w:rsidRPr="0010759E" w:rsidRDefault="00665877" w:rsidP="00086FB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0759E">
              <w:rPr>
                <w:rFonts w:hint="eastAsia"/>
                <w:sz w:val="18"/>
                <w:szCs w:val="18"/>
              </w:rPr>
              <w:t>評価指標</w:t>
            </w:r>
          </w:p>
        </w:tc>
        <w:tc>
          <w:tcPr>
            <w:tcW w:w="1843" w:type="dxa"/>
            <w:vAlign w:val="center"/>
          </w:tcPr>
          <w:p w:rsidR="00665877" w:rsidRPr="0010759E" w:rsidRDefault="00665877" w:rsidP="00E97FC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0759E">
              <w:rPr>
                <w:rFonts w:hint="eastAsia"/>
                <w:sz w:val="18"/>
                <w:szCs w:val="18"/>
              </w:rPr>
              <w:t>方策の達成状況</w:t>
            </w:r>
          </w:p>
        </w:tc>
        <w:tc>
          <w:tcPr>
            <w:tcW w:w="709" w:type="dxa"/>
            <w:vAlign w:val="center"/>
          </w:tcPr>
          <w:p w:rsidR="00665877" w:rsidRPr="00E97FC0" w:rsidRDefault="00665877" w:rsidP="00086FBD">
            <w:pPr>
              <w:spacing w:line="220" w:lineRule="exact"/>
              <w:jc w:val="center"/>
              <w:rPr>
                <w:spacing w:val="-12"/>
                <w:sz w:val="18"/>
                <w:szCs w:val="18"/>
              </w:rPr>
            </w:pPr>
            <w:r w:rsidRPr="00E97FC0">
              <w:rPr>
                <w:rFonts w:hint="eastAsia"/>
                <w:spacing w:val="-12"/>
                <w:sz w:val="18"/>
                <w:szCs w:val="18"/>
              </w:rPr>
              <w:t>達成度</w:t>
            </w:r>
          </w:p>
        </w:tc>
        <w:tc>
          <w:tcPr>
            <w:tcW w:w="2031" w:type="dxa"/>
            <w:vAlign w:val="center"/>
          </w:tcPr>
          <w:p w:rsidR="0010759E" w:rsidRDefault="00665877" w:rsidP="00086FB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0759E">
              <w:rPr>
                <w:rFonts w:hint="eastAsia"/>
                <w:sz w:val="18"/>
                <w:szCs w:val="18"/>
              </w:rPr>
              <w:t>次年度への</w:t>
            </w:r>
          </w:p>
          <w:p w:rsidR="00665877" w:rsidRPr="0010759E" w:rsidRDefault="00665877" w:rsidP="00086FBD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10759E">
              <w:rPr>
                <w:rFonts w:hint="eastAsia"/>
                <w:sz w:val="18"/>
                <w:szCs w:val="18"/>
              </w:rPr>
              <w:t>課題と改善策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:rsidR="00665877" w:rsidRDefault="00665877"/>
        </w:tc>
        <w:tc>
          <w:tcPr>
            <w:tcW w:w="2410" w:type="dxa"/>
            <w:vAlign w:val="center"/>
          </w:tcPr>
          <w:p w:rsidR="00E97FC0" w:rsidRDefault="00665877" w:rsidP="00E97FC0">
            <w:pPr>
              <w:jc w:val="center"/>
              <w:rPr>
                <w:sz w:val="18"/>
                <w:szCs w:val="18"/>
              </w:rPr>
            </w:pPr>
            <w:r w:rsidRPr="00665877">
              <w:rPr>
                <w:rFonts w:hint="eastAsia"/>
                <w:sz w:val="18"/>
                <w:szCs w:val="18"/>
              </w:rPr>
              <w:t>学校関係者からの</w:t>
            </w:r>
          </w:p>
          <w:p w:rsidR="00665877" w:rsidRPr="00665877" w:rsidRDefault="00665877" w:rsidP="00E97FC0">
            <w:pPr>
              <w:jc w:val="center"/>
              <w:rPr>
                <w:sz w:val="18"/>
                <w:szCs w:val="18"/>
              </w:rPr>
            </w:pPr>
            <w:r w:rsidRPr="00665877">
              <w:rPr>
                <w:rFonts w:hint="eastAsia"/>
                <w:sz w:val="18"/>
                <w:szCs w:val="18"/>
              </w:rPr>
              <w:t>評価・意見等</w:t>
            </w:r>
          </w:p>
        </w:tc>
      </w:tr>
      <w:tr w:rsidR="00CA3692" w:rsidTr="000404B7">
        <w:trPr>
          <w:trHeight w:val="1011"/>
        </w:trPr>
        <w:tc>
          <w:tcPr>
            <w:tcW w:w="534" w:type="dxa"/>
            <w:vMerge w:val="restart"/>
            <w:vAlign w:val="center"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  <w:r w:rsidRPr="00375D95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2409" w:type="dxa"/>
            <w:vMerge w:val="restart"/>
          </w:tcPr>
          <w:p w:rsidR="00CA3692" w:rsidRPr="00AE502E" w:rsidRDefault="00CA3692" w:rsidP="00CA3692">
            <w:pPr>
              <w:rPr>
                <w:sz w:val="16"/>
                <w:szCs w:val="18"/>
              </w:rPr>
            </w:pPr>
            <w:r w:rsidRPr="00AE502E">
              <w:rPr>
                <w:rFonts w:hint="eastAsia"/>
                <w:sz w:val="16"/>
                <w:szCs w:val="18"/>
              </w:rPr>
              <w:t>【学習指導】</w:t>
            </w:r>
          </w:p>
          <w:p w:rsidR="00CA3692" w:rsidRPr="00AE502E" w:rsidRDefault="00CA3692" w:rsidP="00B00B24">
            <w:pPr>
              <w:ind w:left="160" w:hangingChars="100" w:hanging="160"/>
              <w:rPr>
                <w:sz w:val="16"/>
                <w:szCs w:val="18"/>
              </w:rPr>
            </w:pPr>
            <w:r w:rsidRPr="00AE502E">
              <w:rPr>
                <w:rFonts w:hint="eastAsia"/>
                <w:sz w:val="16"/>
                <w:szCs w:val="18"/>
              </w:rPr>
              <w:t>・不登校や学習時間の不足から、小･中学校の学習内容が定着していない生徒が多く見られる。</w:t>
            </w:r>
          </w:p>
          <w:p w:rsidR="00CA3692" w:rsidRPr="00AE502E" w:rsidRDefault="00CA3692" w:rsidP="00B00B24">
            <w:pPr>
              <w:ind w:left="160" w:hangingChars="100" w:hanging="160"/>
              <w:rPr>
                <w:sz w:val="16"/>
                <w:szCs w:val="18"/>
              </w:rPr>
            </w:pPr>
            <w:r w:rsidRPr="00AE502E">
              <w:rPr>
                <w:rFonts w:hint="eastAsia"/>
                <w:sz w:val="16"/>
                <w:szCs w:val="18"/>
              </w:rPr>
              <w:t>・学ぶことへの意欲が低い生徒がいる。</w:t>
            </w:r>
          </w:p>
          <w:p w:rsidR="00CA3692" w:rsidRPr="00AE502E" w:rsidRDefault="00CA3692" w:rsidP="00B00B24">
            <w:pPr>
              <w:ind w:left="160" w:hangingChars="100" w:hanging="160"/>
              <w:rPr>
                <w:sz w:val="16"/>
                <w:szCs w:val="18"/>
              </w:rPr>
            </w:pPr>
            <w:r w:rsidRPr="00AE502E">
              <w:rPr>
                <w:rFonts w:hint="eastAsia"/>
                <w:sz w:val="16"/>
                <w:szCs w:val="18"/>
              </w:rPr>
              <w:t>・非常勤講師を除き、各教科</w:t>
            </w:r>
            <w:r w:rsidRPr="00AE502E">
              <w:rPr>
                <w:rFonts w:hint="eastAsia"/>
                <w:sz w:val="16"/>
                <w:szCs w:val="18"/>
              </w:rPr>
              <w:t>1</w:t>
            </w:r>
            <w:r w:rsidRPr="00AE502E">
              <w:rPr>
                <w:rFonts w:hint="eastAsia"/>
                <w:sz w:val="16"/>
                <w:szCs w:val="18"/>
              </w:rPr>
              <w:t>名の体制であるため、教員同士で切磋琢磨する場面が少ない。</w:t>
            </w:r>
          </w:p>
          <w:p w:rsidR="00CA3692" w:rsidRPr="00670C4D" w:rsidRDefault="00CA3692" w:rsidP="00CA3692">
            <w:pPr>
              <w:spacing w:line="220" w:lineRule="exact"/>
              <w:rPr>
                <w:color w:val="FF0000"/>
                <w:sz w:val="16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3692" w:rsidRPr="00AE502E" w:rsidRDefault="00CA3692" w:rsidP="00B00B24">
            <w:pPr>
              <w:spacing w:line="200" w:lineRule="exact"/>
              <w:ind w:left="240" w:hangingChars="150" w:hanging="240"/>
              <w:rPr>
                <w:rFonts w:asciiTheme="minorEastAsia" w:hAnsiTheme="minorEastAsia"/>
                <w:sz w:val="16"/>
                <w:szCs w:val="18"/>
              </w:rPr>
            </w:pPr>
            <w:r w:rsidRPr="00AE502E">
              <w:rPr>
                <w:rFonts w:asciiTheme="minorEastAsia" w:hAnsiTheme="minorEastAsia" w:hint="eastAsia"/>
                <w:sz w:val="16"/>
                <w:szCs w:val="18"/>
              </w:rPr>
              <w:t>(1)教員の授業力の向上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CA3692" w:rsidRPr="00AE502E" w:rsidRDefault="00CA3692" w:rsidP="00B00B24">
            <w:pPr>
              <w:spacing w:line="220" w:lineRule="exact"/>
              <w:ind w:left="160" w:hangingChars="100" w:hanging="160"/>
              <w:rPr>
                <w:sz w:val="16"/>
                <w:szCs w:val="18"/>
              </w:rPr>
            </w:pPr>
            <w:r w:rsidRPr="00AE502E">
              <w:rPr>
                <w:rFonts w:hint="eastAsia"/>
                <w:sz w:val="16"/>
                <w:szCs w:val="18"/>
              </w:rPr>
              <w:t>①年間２回の校内公開授業における授業への積極的な参観</w:t>
            </w:r>
            <w:r w:rsidR="00D210BC">
              <w:rPr>
                <w:rFonts w:hint="eastAsia"/>
                <w:sz w:val="16"/>
                <w:szCs w:val="18"/>
              </w:rPr>
              <w:t>や</w:t>
            </w:r>
            <w:r w:rsidRPr="00AE502E">
              <w:rPr>
                <w:rFonts w:hint="eastAsia"/>
                <w:sz w:val="16"/>
                <w:szCs w:val="18"/>
              </w:rPr>
              <w:t>見学者アンケート</w:t>
            </w:r>
            <w:r w:rsidR="00D210BC">
              <w:rPr>
                <w:rFonts w:hint="eastAsia"/>
                <w:sz w:val="16"/>
                <w:szCs w:val="18"/>
              </w:rPr>
              <w:t>等</w:t>
            </w:r>
            <w:r w:rsidRPr="00AE502E">
              <w:rPr>
                <w:rFonts w:hint="eastAsia"/>
                <w:sz w:val="16"/>
                <w:szCs w:val="18"/>
              </w:rPr>
              <w:t>により授業力の向上を図る。</w:t>
            </w:r>
          </w:p>
          <w:p w:rsidR="00CA3692" w:rsidRPr="00AE502E" w:rsidRDefault="00CA3692" w:rsidP="00CA3692">
            <w:pPr>
              <w:spacing w:line="220" w:lineRule="exact"/>
              <w:rPr>
                <w:sz w:val="16"/>
                <w:szCs w:val="18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CA3692" w:rsidRPr="00AE502E" w:rsidRDefault="00CA3692" w:rsidP="00CA3692">
            <w:pPr>
              <w:spacing w:line="200" w:lineRule="exact"/>
              <w:ind w:left="160" w:hangingChars="100" w:hanging="160"/>
              <w:rPr>
                <w:sz w:val="16"/>
                <w:szCs w:val="18"/>
              </w:rPr>
            </w:pPr>
            <w:r w:rsidRPr="00AE502E">
              <w:rPr>
                <w:rFonts w:hint="eastAsia"/>
                <w:sz w:val="16"/>
                <w:szCs w:val="18"/>
              </w:rPr>
              <w:t>・</w:t>
            </w:r>
            <w:r w:rsidR="00F937C7">
              <w:rPr>
                <w:rFonts w:hint="eastAsia"/>
                <w:sz w:val="16"/>
                <w:szCs w:val="18"/>
              </w:rPr>
              <w:t>１回の</w:t>
            </w:r>
            <w:r>
              <w:rPr>
                <w:rFonts w:hint="eastAsia"/>
                <w:sz w:val="16"/>
                <w:szCs w:val="18"/>
              </w:rPr>
              <w:t>公開授業</w:t>
            </w:r>
            <w:r w:rsidR="00F937C7">
              <w:rPr>
                <w:rFonts w:hint="eastAsia"/>
                <w:sz w:val="16"/>
                <w:szCs w:val="18"/>
              </w:rPr>
              <w:t>における</w:t>
            </w:r>
            <w:r w:rsidRPr="00AE502E">
              <w:rPr>
                <w:rFonts w:hint="eastAsia"/>
                <w:sz w:val="16"/>
                <w:szCs w:val="18"/>
              </w:rPr>
              <w:t>１人５回以上</w:t>
            </w:r>
            <w:r w:rsidR="00F937C7">
              <w:rPr>
                <w:rFonts w:hint="eastAsia"/>
                <w:sz w:val="16"/>
                <w:szCs w:val="18"/>
              </w:rPr>
              <w:t>の</w:t>
            </w:r>
            <w:r w:rsidRPr="00AE502E">
              <w:rPr>
                <w:rFonts w:hint="eastAsia"/>
                <w:sz w:val="16"/>
                <w:szCs w:val="18"/>
              </w:rPr>
              <w:t>参観</w:t>
            </w:r>
            <w:r w:rsidR="00F018F0">
              <w:rPr>
                <w:rFonts w:hint="eastAsia"/>
                <w:sz w:val="16"/>
                <w:szCs w:val="18"/>
              </w:rPr>
              <w:t>の実施状況</w:t>
            </w:r>
          </w:p>
          <w:p w:rsidR="00CA3692" w:rsidRPr="00670C4D" w:rsidRDefault="00CA3692" w:rsidP="00F018F0">
            <w:pPr>
              <w:spacing w:line="220" w:lineRule="exact"/>
              <w:ind w:left="160" w:hangingChars="100" w:hanging="160"/>
              <w:rPr>
                <w:color w:val="FF0000"/>
                <w:sz w:val="16"/>
                <w:szCs w:val="18"/>
              </w:rPr>
            </w:pPr>
            <w:r w:rsidRPr="00AE502E">
              <w:rPr>
                <w:rFonts w:hint="eastAsia"/>
                <w:sz w:val="16"/>
                <w:szCs w:val="18"/>
              </w:rPr>
              <w:t>・アンケート</w:t>
            </w:r>
            <w:r>
              <w:rPr>
                <w:rFonts w:hint="eastAsia"/>
                <w:sz w:val="16"/>
                <w:szCs w:val="18"/>
              </w:rPr>
              <w:t>結果</w:t>
            </w:r>
            <w:r w:rsidR="00F937C7">
              <w:rPr>
                <w:rFonts w:hint="eastAsia"/>
                <w:sz w:val="16"/>
                <w:szCs w:val="18"/>
              </w:rPr>
              <w:t>の</w:t>
            </w:r>
            <w:r w:rsidR="00F018F0">
              <w:rPr>
                <w:rFonts w:hint="eastAsia"/>
                <w:sz w:val="16"/>
                <w:szCs w:val="18"/>
              </w:rPr>
              <w:t>授業者</w:t>
            </w:r>
            <w:r>
              <w:rPr>
                <w:rFonts w:hint="eastAsia"/>
                <w:sz w:val="16"/>
                <w:szCs w:val="18"/>
              </w:rPr>
              <w:t>振り返り</w:t>
            </w:r>
            <w:r w:rsidR="00F018F0">
              <w:rPr>
                <w:rFonts w:hint="eastAsia"/>
                <w:sz w:val="16"/>
                <w:szCs w:val="18"/>
              </w:rPr>
              <w:t>への活用状況</w:t>
            </w:r>
          </w:p>
        </w:tc>
        <w:tc>
          <w:tcPr>
            <w:tcW w:w="1843" w:type="dxa"/>
            <w:vMerge w:val="restart"/>
          </w:tcPr>
          <w:p w:rsidR="00CA3692" w:rsidRPr="00105F1B" w:rsidRDefault="00CA3692" w:rsidP="00CA3692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709" w:type="dxa"/>
            <w:vMerge w:val="restart"/>
          </w:tcPr>
          <w:p w:rsidR="00CA3692" w:rsidRDefault="00CA3692" w:rsidP="00CA3692">
            <w:pPr>
              <w:rPr>
                <w:sz w:val="18"/>
                <w:szCs w:val="18"/>
              </w:rPr>
            </w:pPr>
          </w:p>
          <w:p w:rsidR="00CA3692" w:rsidRDefault="00CA3692" w:rsidP="00CA3692">
            <w:pPr>
              <w:rPr>
                <w:sz w:val="18"/>
                <w:szCs w:val="18"/>
              </w:rPr>
            </w:pPr>
          </w:p>
          <w:p w:rsidR="00CA3692" w:rsidRDefault="00CA3692" w:rsidP="00CA3692">
            <w:pPr>
              <w:rPr>
                <w:sz w:val="18"/>
                <w:szCs w:val="18"/>
              </w:rPr>
            </w:pPr>
          </w:p>
          <w:p w:rsidR="00CA3692" w:rsidRPr="00375D95" w:rsidRDefault="00CA3692" w:rsidP="00CA36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31" w:type="dxa"/>
            <w:vMerge w:val="restart"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237" w:type="dxa"/>
            <w:vMerge w:val="restart"/>
            <w:tcBorders>
              <w:top w:val="nil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CA3692" w:rsidTr="00D210BC">
        <w:trPr>
          <w:trHeight w:val="471"/>
        </w:trPr>
        <w:tc>
          <w:tcPr>
            <w:tcW w:w="534" w:type="dxa"/>
            <w:vMerge/>
            <w:vAlign w:val="center"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A3692" w:rsidRPr="00670C4D" w:rsidRDefault="00CA3692" w:rsidP="00CA3692">
            <w:pPr>
              <w:rPr>
                <w:color w:val="FF0000"/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A3692" w:rsidRPr="00670C4D" w:rsidRDefault="00CA3692" w:rsidP="00CA3692">
            <w:pPr>
              <w:spacing w:line="200" w:lineRule="exact"/>
              <w:rPr>
                <w:color w:val="FF0000"/>
                <w:sz w:val="16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:rsidR="00CA3692" w:rsidRPr="00347285" w:rsidRDefault="00D210BC" w:rsidP="00B00B24">
            <w:pPr>
              <w:spacing w:line="220" w:lineRule="exact"/>
              <w:ind w:left="160" w:hangingChars="100" w:hanging="160"/>
              <w:rPr>
                <w:sz w:val="16"/>
                <w:szCs w:val="18"/>
              </w:rPr>
            </w:pPr>
            <w:r w:rsidRPr="00347285">
              <w:rPr>
                <w:rFonts w:hint="eastAsia"/>
                <w:sz w:val="16"/>
                <w:szCs w:val="18"/>
              </w:rPr>
              <w:t>②</w:t>
            </w:r>
            <w:r>
              <w:rPr>
                <w:rFonts w:hint="eastAsia"/>
                <w:sz w:val="16"/>
                <w:szCs w:val="18"/>
              </w:rPr>
              <w:t>授業評価を組織的に実施し結果を踏まえ改善を図る。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:rsidR="00CA3692" w:rsidRPr="00347285" w:rsidRDefault="00CA3692" w:rsidP="00CA3692">
            <w:pPr>
              <w:spacing w:line="220" w:lineRule="exact"/>
              <w:ind w:left="160" w:hangingChars="100" w:hanging="160"/>
              <w:rPr>
                <w:sz w:val="16"/>
                <w:szCs w:val="17"/>
              </w:rPr>
            </w:pPr>
            <w:r w:rsidRPr="00347285">
              <w:rPr>
                <w:rFonts w:hint="eastAsia"/>
                <w:sz w:val="16"/>
                <w:szCs w:val="18"/>
              </w:rPr>
              <w:t>・組織的な授業評価の実施</w:t>
            </w:r>
            <w:r w:rsidR="00F018F0">
              <w:rPr>
                <w:rFonts w:hint="eastAsia"/>
                <w:sz w:val="16"/>
                <w:szCs w:val="18"/>
              </w:rPr>
              <w:t>状況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031" w:type="dxa"/>
            <w:vMerge/>
            <w:tcBorders>
              <w:bottom w:val="single" w:sz="4" w:space="0" w:color="auto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</w:tr>
      <w:tr w:rsidR="00CA3692" w:rsidTr="00FC077C">
        <w:tc>
          <w:tcPr>
            <w:tcW w:w="534" w:type="dxa"/>
            <w:vMerge/>
            <w:vAlign w:val="center"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A3692" w:rsidRPr="00670C4D" w:rsidRDefault="00CA3692" w:rsidP="00CA3692">
            <w:pPr>
              <w:rPr>
                <w:color w:val="FF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A3692" w:rsidRPr="009C44F2" w:rsidRDefault="00CA3692" w:rsidP="00B00B24">
            <w:pPr>
              <w:spacing w:line="200" w:lineRule="exact"/>
              <w:ind w:left="240" w:hangingChars="150" w:hanging="240"/>
              <w:rPr>
                <w:rFonts w:asciiTheme="minorEastAsia" w:hAnsiTheme="minorEastAsia"/>
                <w:sz w:val="16"/>
                <w:szCs w:val="18"/>
              </w:rPr>
            </w:pPr>
            <w:r w:rsidRPr="009C44F2">
              <w:rPr>
                <w:rFonts w:asciiTheme="minorEastAsia" w:hAnsiTheme="minorEastAsia" w:hint="eastAsia"/>
                <w:sz w:val="16"/>
                <w:szCs w:val="18"/>
              </w:rPr>
              <w:t>(2)基礎学力の定着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A3692" w:rsidRPr="00347285" w:rsidRDefault="00CA3692" w:rsidP="00B00B24">
            <w:pPr>
              <w:spacing w:line="200" w:lineRule="exact"/>
              <w:ind w:left="160" w:hangingChars="100" w:hanging="160"/>
              <w:rPr>
                <w:sz w:val="16"/>
                <w:szCs w:val="18"/>
              </w:rPr>
            </w:pPr>
            <w:r w:rsidRPr="00347285">
              <w:rPr>
                <w:rFonts w:hint="eastAsia"/>
                <w:sz w:val="16"/>
                <w:szCs w:val="18"/>
              </w:rPr>
              <w:t>①</w:t>
            </w:r>
            <w:r>
              <w:rPr>
                <w:rFonts w:hint="eastAsia"/>
                <w:sz w:val="16"/>
                <w:szCs w:val="18"/>
              </w:rPr>
              <w:t>漢字テストとマイ</w:t>
            </w:r>
            <w:r w:rsidRPr="00347285">
              <w:rPr>
                <w:rFonts w:hint="eastAsia"/>
                <w:sz w:val="16"/>
                <w:szCs w:val="18"/>
              </w:rPr>
              <w:t>スタディの</w:t>
            </w:r>
            <w:r>
              <w:rPr>
                <w:rFonts w:hint="eastAsia"/>
                <w:sz w:val="16"/>
                <w:szCs w:val="18"/>
              </w:rPr>
              <w:t>事前・事後指導の毎回実施と</w:t>
            </w:r>
            <w:r w:rsidRPr="00347285">
              <w:rPr>
                <w:rFonts w:hint="eastAsia"/>
                <w:sz w:val="16"/>
                <w:szCs w:val="18"/>
              </w:rPr>
              <w:t>時間ごとに小テストを実施し、返却時に担当教科で事後指導を行い、基礎学力の定着を図る。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A3692" w:rsidRPr="00347285" w:rsidRDefault="00CA3692" w:rsidP="00CA3692">
            <w:pPr>
              <w:spacing w:line="200" w:lineRule="exact"/>
              <w:ind w:left="160" w:hangingChars="100" w:hanging="160"/>
              <w:rPr>
                <w:sz w:val="16"/>
                <w:szCs w:val="18"/>
              </w:rPr>
            </w:pPr>
            <w:r w:rsidRPr="00347285">
              <w:rPr>
                <w:rFonts w:hint="eastAsia"/>
                <w:sz w:val="16"/>
                <w:szCs w:val="18"/>
              </w:rPr>
              <w:t>・小テストの実施状況</w:t>
            </w:r>
          </w:p>
          <w:p w:rsidR="00CA3692" w:rsidRPr="00347285" w:rsidRDefault="00CA3692" w:rsidP="00CA3692">
            <w:pPr>
              <w:spacing w:line="200" w:lineRule="exact"/>
              <w:ind w:left="160" w:hangingChars="100" w:hanging="160"/>
              <w:rPr>
                <w:sz w:val="16"/>
                <w:szCs w:val="18"/>
              </w:rPr>
            </w:pPr>
            <w:r w:rsidRPr="00347285">
              <w:rPr>
                <w:rFonts w:hint="eastAsia"/>
                <w:sz w:val="16"/>
                <w:szCs w:val="18"/>
              </w:rPr>
              <w:t>・事後指導の実施</w:t>
            </w:r>
            <w:r w:rsidR="00F018F0">
              <w:rPr>
                <w:rFonts w:hint="eastAsia"/>
                <w:sz w:val="16"/>
                <w:szCs w:val="18"/>
              </w:rPr>
              <w:t>状況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A3692" w:rsidRPr="005C0AF9" w:rsidRDefault="00CA3692" w:rsidP="00CA3692">
            <w:pPr>
              <w:rPr>
                <w:sz w:val="16"/>
                <w:szCs w:val="16"/>
              </w:rPr>
            </w:pPr>
            <w:r w:rsidRPr="005C0AF9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A3692" w:rsidRPr="005C0AF9" w:rsidRDefault="00CA3692" w:rsidP="00CA3692">
            <w:pPr>
              <w:rPr>
                <w:sz w:val="16"/>
                <w:szCs w:val="16"/>
              </w:rPr>
            </w:pPr>
          </w:p>
          <w:p w:rsidR="00CA3692" w:rsidRPr="005C0AF9" w:rsidRDefault="00CA3692" w:rsidP="00CA3692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31" w:type="dxa"/>
            <w:tcBorders>
              <w:top w:val="single" w:sz="4" w:space="0" w:color="auto"/>
            </w:tcBorders>
          </w:tcPr>
          <w:p w:rsidR="00CA3692" w:rsidRPr="005C0AF9" w:rsidRDefault="00CA3692" w:rsidP="00CA3692">
            <w:pPr>
              <w:rPr>
                <w:sz w:val="16"/>
                <w:szCs w:val="16"/>
              </w:rPr>
            </w:pPr>
            <w:r w:rsidRPr="005C0AF9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</w:tr>
      <w:tr w:rsidR="00CA3692" w:rsidTr="00FC077C">
        <w:trPr>
          <w:trHeight w:val="158"/>
        </w:trPr>
        <w:tc>
          <w:tcPr>
            <w:tcW w:w="534" w:type="dxa"/>
            <w:vMerge w:val="restart"/>
            <w:vAlign w:val="center"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  <w:r w:rsidRPr="00375D95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409" w:type="dxa"/>
            <w:vMerge w:val="restart"/>
          </w:tcPr>
          <w:p w:rsidR="00CA3692" w:rsidRPr="00253DDD" w:rsidRDefault="00CA3692" w:rsidP="00CA3692">
            <w:pPr>
              <w:rPr>
                <w:sz w:val="16"/>
                <w:szCs w:val="18"/>
              </w:rPr>
            </w:pPr>
            <w:r w:rsidRPr="00253DDD">
              <w:rPr>
                <w:rFonts w:hint="eastAsia"/>
                <w:sz w:val="16"/>
                <w:szCs w:val="18"/>
              </w:rPr>
              <w:t>【生徒指導】</w:t>
            </w:r>
          </w:p>
          <w:p w:rsidR="00CA3692" w:rsidRDefault="00CA3692" w:rsidP="00B00B24">
            <w:pPr>
              <w:ind w:left="160" w:hangingChars="100" w:hanging="160"/>
              <w:rPr>
                <w:sz w:val="16"/>
                <w:szCs w:val="18"/>
              </w:rPr>
            </w:pPr>
            <w:r w:rsidRPr="00253DDD">
              <w:rPr>
                <w:rFonts w:hint="eastAsia"/>
                <w:sz w:val="16"/>
                <w:szCs w:val="18"/>
              </w:rPr>
              <w:t>・</w:t>
            </w:r>
            <w:r w:rsidR="00A904E9">
              <w:rPr>
                <w:rFonts w:hint="eastAsia"/>
                <w:sz w:val="16"/>
                <w:szCs w:val="18"/>
              </w:rPr>
              <w:t>長期欠席、不登校、ひきこもりなどの経験者が多く、様々な生活経験・体験が乏しい。</w:t>
            </w:r>
          </w:p>
          <w:p w:rsidR="00A904E9" w:rsidRDefault="00A904E9" w:rsidP="00B00B24">
            <w:pPr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・失敗することを嫌い、行動しない選択をとりたがる。</w:t>
            </w:r>
          </w:p>
          <w:p w:rsidR="00A904E9" w:rsidRPr="00253DDD" w:rsidRDefault="00A904E9" w:rsidP="00B00B24">
            <w:pPr>
              <w:ind w:left="160" w:hangingChars="100" w:hanging="160"/>
              <w:rPr>
                <w:color w:val="FF0000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・自ら考え行動するのでなく、指示されることを待つ事が多い。</w:t>
            </w:r>
          </w:p>
        </w:tc>
        <w:tc>
          <w:tcPr>
            <w:tcW w:w="1276" w:type="dxa"/>
            <w:vMerge w:val="restart"/>
            <w:vAlign w:val="center"/>
          </w:tcPr>
          <w:p w:rsidR="00CA3692" w:rsidRPr="004279FF" w:rsidRDefault="00CA3692" w:rsidP="00B00B24">
            <w:pPr>
              <w:spacing w:line="200" w:lineRule="exact"/>
              <w:ind w:left="240" w:hangingChars="150" w:hanging="240"/>
              <w:rPr>
                <w:sz w:val="16"/>
                <w:szCs w:val="18"/>
              </w:rPr>
            </w:pPr>
            <w:r w:rsidRPr="00EF79EA">
              <w:rPr>
                <w:rFonts w:asciiTheme="minorEastAsia" w:hAnsiTheme="minorEastAsia" w:cs="Times New Roman" w:hint="eastAsia"/>
                <w:sz w:val="16"/>
                <w:szCs w:val="18"/>
              </w:rPr>
              <w:t>(1)</w:t>
            </w:r>
            <w:r w:rsidR="00AC026D">
              <w:rPr>
                <w:rFonts w:asciiTheme="minorEastAsia" w:hAnsiTheme="minorEastAsia" w:cs="Times New Roman" w:hint="eastAsia"/>
                <w:sz w:val="16"/>
                <w:szCs w:val="18"/>
              </w:rPr>
              <w:t>規範意識の向上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CA3692" w:rsidRPr="00670C4D" w:rsidRDefault="00CA3692" w:rsidP="00B00B24">
            <w:pPr>
              <w:spacing w:line="200" w:lineRule="exact"/>
              <w:ind w:left="160" w:hangingChars="100" w:hanging="160"/>
              <w:rPr>
                <w:color w:val="FF0000"/>
                <w:sz w:val="16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8"/>
              </w:rPr>
              <w:t>①</w:t>
            </w:r>
            <w:r w:rsidR="00483C24">
              <w:rPr>
                <w:rFonts w:asciiTheme="minorEastAsia" w:hAnsiTheme="minorEastAsia" w:cs="Times New Roman" w:hint="eastAsia"/>
                <w:sz w:val="16"/>
                <w:szCs w:val="18"/>
              </w:rPr>
              <w:t>生徒理解を</w:t>
            </w:r>
            <w:r w:rsidR="004E2D6C">
              <w:rPr>
                <w:rFonts w:asciiTheme="minorEastAsia" w:hAnsiTheme="minorEastAsia" w:cs="Times New Roman" w:hint="eastAsia"/>
                <w:sz w:val="16"/>
                <w:szCs w:val="18"/>
              </w:rPr>
              <w:t>推進</w:t>
            </w:r>
            <w:r w:rsidR="00483C24">
              <w:rPr>
                <w:rFonts w:asciiTheme="minorEastAsia" w:hAnsiTheme="minorEastAsia" w:cs="Times New Roman" w:hint="eastAsia"/>
                <w:sz w:val="16"/>
                <w:szCs w:val="18"/>
              </w:rPr>
              <w:t>するため、生徒への声かけをする。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CA3692" w:rsidRPr="004E2D6C" w:rsidRDefault="00CA3692" w:rsidP="00F018F0">
            <w:pPr>
              <w:spacing w:line="200" w:lineRule="exact"/>
              <w:ind w:left="160" w:hangingChars="100" w:hanging="160"/>
              <w:rPr>
                <w:rFonts w:ascii="Century" w:eastAsia="ＭＳ 明朝" w:hAnsi="Century" w:cs="Times New Roman"/>
                <w:sz w:val="16"/>
                <w:szCs w:val="17"/>
              </w:rPr>
            </w:pPr>
            <w:r w:rsidRPr="00957848">
              <w:rPr>
                <w:rFonts w:hint="eastAsia"/>
                <w:sz w:val="16"/>
                <w:szCs w:val="17"/>
              </w:rPr>
              <w:t>・</w:t>
            </w:r>
            <w:r w:rsidR="004E2D6C">
              <w:rPr>
                <w:rFonts w:ascii="Century" w:eastAsia="ＭＳ 明朝" w:hAnsi="Century" w:cs="Times New Roman" w:hint="eastAsia"/>
                <w:sz w:val="16"/>
                <w:szCs w:val="17"/>
              </w:rPr>
              <w:t>年に２回の面接週間</w:t>
            </w:r>
            <w:r w:rsidR="00F018F0">
              <w:rPr>
                <w:rFonts w:ascii="Century" w:eastAsia="ＭＳ 明朝" w:hAnsi="Century" w:cs="Times New Roman" w:hint="eastAsia"/>
                <w:sz w:val="16"/>
                <w:szCs w:val="17"/>
              </w:rPr>
              <w:t>による</w:t>
            </w:r>
            <w:r w:rsidR="004E2D6C">
              <w:rPr>
                <w:rFonts w:ascii="Century" w:eastAsia="ＭＳ 明朝" w:hAnsi="Century" w:cs="Times New Roman" w:hint="eastAsia"/>
                <w:sz w:val="16"/>
                <w:szCs w:val="17"/>
              </w:rPr>
              <w:t>生徒理解</w:t>
            </w:r>
            <w:r w:rsidR="00F018F0">
              <w:rPr>
                <w:rFonts w:ascii="Century" w:eastAsia="ＭＳ 明朝" w:hAnsi="Century" w:cs="Times New Roman" w:hint="eastAsia"/>
                <w:sz w:val="16"/>
                <w:szCs w:val="17"/>
              </w:rPr>
              <w:t>の状況</w:t>
            </w:r>
          </w:p>
        </w:tc>
        <w:tc>
          <w:tcPr>
            <w:tcW w:w="1843" w:type="dxa"/>
            <w:vMerge w:val="restart"/>
          </w:tcPr>
          <w:p w:rsidR="00CA3692" w:rsidRPr="00516199" w:rsidRDefault="00CA3692" w:rsidP="00CA3692">
            <w:pPr>
              <w:rPr>
                <w:sz w:val="16"/>
                <w:szCs w:val="16"/>
              </w:rPr>
            </w:pPr>
            <w:r w:rsidRPr="00516199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709" w:type="dxa"/>
            <w:vMerge w:val="restart"/>
          </w:tcPr>
          <w:p w:rsidR="00CA3692" w:rsidRDefault="00CA3692" w:rsidP="00CA3692">
            <w:pPr>
              <w:rPr>
                <w:sz w:val="18"/>
                <w:szCs w:val="18"/>
              </w:rPr>
            </w:pPr>
          </w:p>
          <w:p w:rsidR="00CA3692" w:rsidRDefault="00CA3692" w:rsidP="00CA3692">
            <w:pPr>
              <w:rPr>
                <w:sz w:val="18"/>
                <w:szCs w:val="18"/>
              </w:rPr>
            </w:pPr>
          </w:p>
          <w:p w:rsidR="00CA3692" w:rsidRDefault="00CA3692" w:rsidP="00CA3692">
            <w:pPr>
              <w:rPr>
                <w:sz w:val="18"/>
                <w:szCs w:val="18"/>
              </w:rPr>
            </w:pPr>
          </w:p>
          <w:p w:rsidR="00CA3692" w:rsidRPr="00375D95" w:rsidRDefault="00CA3692" w:rsidP="00CA36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31" w:type="dxa"/>
            <w:vMerge w:val="restart"/>
          </w:tcPr>
          <w:p w:rsidR="00CA3692" w:rsidRPr="00DB42DF" w:rsidRDefault="00CA3692" w:rsidP="00CA3692">
            <w:pPr>
              <w:rPr>
                <w:sz w:val="16"/>
                <w:szCs w:val="16"/>
              </w:rPr>
            </w:pPr>
            <w:r w:rsidRPr="00DB42DF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237" w:type="dxa"/>
            <w:vMerge w:val="restart"/>
            <w:tcBorders>
              <w:top w:val="nil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CA3692" w:rsidTr="00FC077C">
        <w:trPr>
          <w:trHeight w:val="158"/>
        </w:trPr>
        <w:tc>
          <w:tcPr>
            <w:tcW w:w="534" w:type="dxa"/>
            <w:vMerge/>
            <w:vAlign w:val="center"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A3692" w:rsidRPr="00670C4D" w:rsidRDefault="00CA3692" w:rsidP="00CA3692">
            <w:pPr>
              <w:rPr>
                <w:color w:val="FF0000"/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A3692" w:rsidRPr="00670C4D" w:rsidRDefault="00CA3692" w:rsidP="00CA3692">
            <w:pPr>
              <w:spacing w:line="200" w:lineRule="exact"/>
              <w:rPr>
                <w:color w:val="FF0000"/>
                <w:sz w:val="16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:rsidR="00CA3692" w:rsidRPr="004279FF" w:rsidRDefault="00CA3692" w:rsidP="00B00B24">
            <w:pPr>
              <w:spacing w:line="2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8"/>
              </w:rPr>
              <w:t>②</w:t>
            </w:r>
            <w:r w:rsidR="00402D97">
              <w:rPr>
                <w:rFonts w:ascii="Century" w:eastAsia="ＭＳ 明朝" w:hAnsi="Century" w:cs="Times New Roman" w:hint="eastAsia"/>
                <w:sz w:val="16"/>
                <w:szCs w:val="18"/>
              </w:rPr>
              <w:t>生徒並びに保護者へ寄り添い、報告・連絡・相談を徹底する。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:rsidR="00CA3692" w:rsidRPr="00670C4D" w:rsidRDefault="00CA3692" w:rsidP="00F018F0">
            <w:pPr>
              <w:spacing w:line="200" w:lineRule="exact"/>
              <w:ind w:left="160" w:hangingChars="100" w:hanging="160"/>
              <w:rPr>
                <w:color w:val="FF0000"/>
                <w:sz w:val="16"/>
                <w:szCs w:val="18"/>
              </w:rPr>
            </w:pPr>
            <w:r w:rsidRPr="00957848">
              <w:rPr>
                <w:rFonts w:hint="eastAsia"/>
                <w:sz w:val="16"/>
                <w:szCs w:val="17"/>
              </w:rPr>
              <w:t>・</w:t>
            </w:r>
            <w:r w:rsidR="00C31554">
              <w:rPr>
                <w:rFonts w:hint="eastAsia"/>
                <w:sz w:val="16"/>
                <w:szCs w:val="17"/>
              </w:rPr>
              <w:t>教育相談の充実</w:t>
            </w:r>
            <w:r w:rsidR="00F018F0">
              <w:rPr>
                <w:rFonts w:hint="eastAsia"/>
                <w:sz w:val="16"/>
                <w:szCs w:val="17"/>
              </w:rPr>
              <w:t>による</w:t>
            </w:r>
            <w:r w:rsidR="00C31554">
              <w:rPr>
                <w:rFonts w:hint="eastAsia"/>
                <w:sz w:val="16"/>
                <w:szCs w:val="17"/>
              </w:rPr>
              <w:t>共通理解</w:t>
            </w:r>
            <w:r w:rsidR="00F018F0">
              <w:rPr>
                <w:rFonts w:hint="eastAsia"/>
                <w:sz w:val="16"/>
                <w:szCs w:val="17"/>
              </w:rPr>
              <w:t>の状況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031" w:type="dxa"/>
            <w:vMerge/>
            <w:tcBorders>
              <w:bottom w:val="single" w:sz="4" w:space="0" w:color="auto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</w:tr>
      <w:tr w:rsidR="00CA3692" w:rsidTr="00523865">
        <w:trPr>
          <w:trHeight w:val="611"/>
        </w:trPr>
        <w:tc>
          <w:tcPr>
            <w:tcW w:w="534" w:type="dxa"/>
            <w:vMerge/>
            <w:vAlign w:val="center"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A3692" w:rsidRPr="00670C4D" w:rsidRDefault="00CA3692" w:rsidP="00CA3692">
            <w:pPr>
              <w:rPr>
                <w:color w:val="FF0000"/>
                <w:sz w:val="16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A3692" w:rsidRPr="00EF79EA" w:rsidRDefault="00CA3692" w:rsidP="00B00B24">
            <w:pPr>
              <w:spacing w:line="200" w:lineRule="exact"/>
              <w:ind w:left="240" w:hangingChars="150" w:hanging="240"/>
              <w:rPr>
                <w:rFonts w:asciiTheme="minorEastAsia" w:hAnsiTheme="minorEastAsia"/>
                <w:sz w:val="16"/>
                <w:szCs w:val="18"/>
              </w:rPr>
            </w:pPr>
            <w:r w:rsidRPr="00EF79EA">
              <w:rPr>
                <w:rFonts w:asciiTheme="minorEastAsia" w:hAnsiTheme="minorEastAsia" w:cs="Times New Roman" w:hint="eastAsia"/>
                <w:sz w:val="16"/>
                <w:szCs w:val="18"/>
              </w:rPr>
              <w:t>(2)</w:t>
            </w:r>
            <w:r w:rsidR="004E2D6C">
              <w:rPr>
                <w:rFonts w:asciiTheme="minorEastAsia" w:hAnsiTheme="minorEastAsia" w:hint="eastAsia"/>
                <w:sz w:val="16"/>
                <w:szCs w:val="18"/>
              </w:rPr>
              <w:t>基本的生活習慣の確立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</w:tcPr>
          <w:p w:rsidR="00402D97" w:rsidRPr="00523865" w:rsidRDefault="00CA3692" w:rsidP="00F937C7">
            <w:pPr>
              <w:spacing w:line="200" w:lineRule="exact"/>
              <w:ind w:left="160" w:hangingChars="100" w:hanging="160"/>
              <w:rPr>
                <w:rFonts w:ascii="Century" w:eastAsia="ＭＳ 明朝" w:hAnsi="Century" w:cs="Times New Roman"/>
                <w:sz w:val="16"/>
                <w:szCs w:val="17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7"/>
              </w:rPr>
              <w:t>①</w:t>
            </w:r>
            <w:r w:rsidR="00523865">
              <w:rPr>
                <w:rFonts w:ascii="Century" w:eastAsia="ＭＳ 明朝" w:hAnsi="Century" w:cs="Times New Roman" w:hint="eastAsia"/>
                <w:sz w:val="16"/>
                <w:szCs w:val="17"/>
              </w:rPr>
              <w:t>皆勤を目指すはたらきかけ</w:t>
            </w:r>
            <w:r w:rsidR="00F937C7">
              <w:rPr>
                <w:rFonts w:ascii="Century" w:eastAsia="ＭＳ 明朝" w:hAnsi="Century" w:cs="Times New Roman" w:hint="eastAsia"/>
                <w:sz w:val="16"/>
                <w:szCs w:val="17"/>
              </w:rPr>
              <w:t>を</w:t>
            </w:r>
            <w:r w:rsidR="00523865">
              <w:rPr>
                <w:rFonts w:ascii="Century" w:eastAsia="ＭＳ 明朝" w:hAnsi="Century" w:cs="Times New Roman" w:hint="eastAsia"/>
                <w:sz w:val="16"/>
                <w:szCs w:val="17"/>
              </w:rPr>
              <w:t>実施</w:t>
            </w:r>
            <w:r w:rsidR="00F937C7">
              <w:rPr>
                <w:rFonts w:ascii="Century" w:eastAsia="ＭＳ 明朝" w:hAnsi="Century" w:cs="Times New Roman" w:hint="eastAsia"/>
                <w:sz w:val="16"/>
                <w:szCs w:val="17"/>
              </w:rPr>
              <w:t>する</w:t>
            </w:r>
            <w:r w:rsidR="00523865">
              <w:rPr>
                <w:rFonts w:ascii="Century" w:eastAsia="ＭＳ 明朝" w:hAnsi="Century" w:cs="Times New Roman" w:hint="eastAsia"/>
                <w:sz w:val="16"/>
                <w:szCs w:val="17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</w:tcPr>
          <w:p w:rsidR="00CA3692" w:rsidRPr="00E02245" w:rsidRDefault="00CA3692" w:rsidP="00F018F0">
            <w:pPr>
              <w:pStyle w:val="ab"/>
              <w:ind w:left="160" w:hangingChars="100" w:hanging="160"/>
              <w:rPr>
                <w:sz w:val="16"/>
                <w:szCs w:val="16"/>
              </w:rPr>
            </w:pPr>
            <w:r w:rsidRPr="00F06DCA">
              <w:rPr>
                <w:rFonts w:hint="eastAsia"/>
                <w:sz w:val="16"/>
                <w:szCs w:val="16"/>
              </w:rPr>
              <w:t>・</w:t>
            </w:r>
            <w:r w:rsidR="00483C24">
              <w:rPr>
                <w:rFonts w:hint="eastAsia"/>
                <w:sz w:val="16"/>
                <w:szCs w:val="16"/>
              </w:rPr>
              <w:t>欠席・遅刻・早退数</w:t>
            </w:r>
            <w:r w:rsidR="00F018F0">
              <w:rPr>
                <w:rFonts w:hint="eastAsia"/>
                <w:sz w:val="16"/>
                <w:szCs w:val="16"/>
              </w:rPr>
              <w:t>の</w:t>
            </w:r>
            <w:r w:rsidR="00F937C7">
              <w:rPr>
                <w:rFonts w:hint="eastAsia"/>
                <w:sz w:val="16"/>
                <w:szCs w:val="16"/>
              </w:rPr>
              <w:t>減少</w:t>
            </w:r>
            <w:r w:rsidR="00F018F0">
              <w:rPr>
                <w:rFonts w:hint="eastAsia"/>
                <w:sz w:val="16"/>
                <w:szCs w:val="16"/>
              </w:rPr>
              <w:t>（昨年度比）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A3692" w:rsidRPr="00533F2E" w:rsidRDefault="00CA3692" w:rsidP="00CA3692">
            <w:pPr>
              <w:rPr>
                <w:sz w:val="16"/>
                <w:szCs w:val="16"/>
              </w:rPr>
            </w:pPr>
            <w:r w:rsidRPr="00533F2E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A3692" w:rsidRDefault="00CA3692" w:rsidP="00CA3692">
            <w:pPr>
              <w:rPr>
                <w:sz w:val="18"/>
                <w:szCs w:val="18"/>
              </w:rPr>
            </w:pPr>
          </w:p>
          <w:p w:rsidR="00CA3692" w:rsidRDefault="00CA3692" w:rsidP="00CA3692">
            <w:pPr>
              <w:rPr>
                <w:sz w:val="18"/>
                <w:szCs w:val="18"/>
              </w:rPr>
            </w:pPr>
          </w:p>
          <w:p w:rsidR="00CA3692" w:rsidRPr="00375D95" w:rsidRDefault="00CA3692" w:rsidP="00CA36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</w:tcBorders>
          </w:tcPr>
          <w:p w:rsidR="00CA3692" w:rsidRPr="00DD345E" w:rsidRDefault="00CA3692" w:rsidP="00CA3692">
            <w:pPr>
              <w:rPr>
                <w:sz w:val="16"/>
                <w:szCs w:val="16"/>
              </w:rPr>
            </w:pPr>
            <w:r w:rsidRPr="00DD345E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237" w:type="dxa"/>
            <w:vMerge w:val="restart"/>
            <w:tcBorders>
              <w:top w:val="nil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</w:tr>
      <w:tr w:rsidR="00CA3692" w:rsidTr="00FC077C">
        <w:trPr>
          <w:trHeight w:val="359"/>
        </w:trPr>
        <w:tc>
          <w:tcPr>
            <w:tcW w:w="534" w:type="dxa"/>
            <w:vMerge/>
            <w:vAlign w:val="center"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A3692" w:rsidRPr="00670C4D" w:rsidRDefault="00CA3692" w:rsidP="00CA3692">
            <w:pPr>
              <w:rPr>
                <w:color w:val="FF0000"/>
                <w:sz w:val="16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A3692" w:rsidRPr="00EF79EA" w:rsidRDefault="00CA3692" w:rsidP="00CA3692">
            <w:pPr>
              <w:spacing w:line="200" w:lineRule="exact"/>
              <w:rPr>
                <w:rFonts w:asciiTheme="minorEastAsia" w:hAnsiTheme="minorEastAsia" w:cs="Times New Roman"/>
                <w:sz w:val="16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CA3692" w:rsidRDefault="00CA3692" w:rsidP="00F937C7">
            <w:pPr>
              <w:spacing w:line="200" w:lineRule="exact"/>
              <w:ind w:left="160" w:hangingChars="100" w:hanging="160"/>
              <w:rPr>
                <w:rFonts w:ascii="Century" w:eastAsia="ＭＳ 明朝" w:hAnsi="Century" w:cs="Times New Roman"/>
                <w:sz w:val="16"/>
                <w:szCs w:val="17"/>
              </w:rPr>
            </w:pPr>
            <w:r>
              <w:rPr>
                <w:rFonts w:hint="eastAsia"/>
                <w:sz w:val="16"/>
                <w:szCs w:val="17"/>
              </w:rPr>
              <w:t>②</w:t>
            </w:r>
            <w:r w:rsidR="00523865">
              <w:rPr>
                <w:rFonts w:hint="eastAsia"/>
                <w:sz w:val="16"/>
                <w:szCs w:val="17"/>
              </w:rPr>
              <w:t>担任等への保護者</w:t>
            </w:r>
            <w:r w:rsidR="00F937C7">
              <w:rPr>
                <w:rFonts w:hint="eastAsia"/>
                <w:sz w:val="16"/>
                <w:szCs w:val="17"/>
              </w:rPr>
              <w:t>及び</w:t>
            </w:r>
            <w:r w:rsidR="00523865">
              <w:rPr>
                <w:rFonts w:hint="eastAsia"/>
                <w:sz w:val="16"/>
                <w:szCs w:val="17"/>
              </w:rPr>
              <w:t>生徒からの連絡</w:t>
            </w:r>
            <w:r w:rsidR="00F937C7">
              <w:rPr>
                <w:rFonts w:hint="eastAsia"/>
                <w:sz w:val="16"/>
                <w:szCs w:val="17"/>
              </w:rPr>
              <w:t>を徹底させる。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CA3692" w:rsidRPr="00E73795" w:rsidRDefault="00CA3692" w:rsidP="00F937C7">
            <w:pPr>
              <w:spacing w:line="200" w:lineRule="exact"/>
              <w:ind w:left="160" w:hangingChars="100" w:hanging="160"/>
              <w:rPr>
                <w:sz w:val="16"/>
                <w:szCs w:val="17"/>
              </w:rPr>
            </w:pPr>
            <w:r w:rsidRPr="00E73795">
              <w:rPr>
                <w:rFonts w:hint="eastAsia"/>
                <w:sz w:val="16"/>
                <w:szCs w:val="17"/>
              </w:rPr>
              <w:t>・</w:t>
            </w:r>
            <w:r w:rsidR="00483C24">
              <w:rPr>
                <w:rFonts w:hint="eastAsia"/>
                <w:sz w:val="16"/>
                <w:szCs w:val="17"/>
              </w:rPr>
              <w:t>きめ細かな</w:t>
            </w:r>
            <w:r w:rsidR="00F937C7">
              <w:rPr>
                <w:rFonts w:hint="eastAsia"/>
                <w:sz w:val="16"/>
                <w:szCs w:val="17"/>
              </w:rPr>
              <w:t>双方向の</w:t>
            </w:r>
            <w:r w:rsidR="00483C24">
              <w:rPr>
                <w:rFonts w:hint="eastAsia"/>
                <w:sz w:val="16"/>
                <w:szCs w:val="17"/>
              </w:rPr>
              <w:t>連絡</w:t>
            </w:r>
            <w:r w:rsidR="00F937C7">
              <w:rPr>
                <w:rFonts w:hint="eastAsia"/>
                <w:sz w:val="16"/>
                <w:szCs w:val="17"/>
              </w:rPr>
              <w:t>の実施</w:t>
            </w:r>
            <w:r w:rsidR="00F018F0">
              <w:rPr>
                <w:rFonts w:hint="eastAsia"/>
                <w:sz w:val="16"/>
                <w:szCs w:val="17"/>
              </w:rPr>
              <w:t>状況</w:t>
            </w:r>
          </w:p>
        </w:tc>
        <w:tc>
          <w:tcPr>
            <w:tcW w:w="1843" w:type="dxa"/>
            <w:vMerge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031" w:type="dxa"/>
            <w:vMerge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</w:tr>
      <w:tr w:rsidR="00CA3692" w:rsidTr="00FC077C">
        <w:trPr>
          <w:trHeight w:val="488"/>
        </w:trPr>
        <w:tc>
          <w:tcPr>
            <w:tcW w:w="534" w:type="dxa"/>
            <w:vMerge w:val="restart"/>
            <w:vAlign w:val="center"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  <w:r w:rsidRPr="00375D95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409" w:type="dxa"/>
            <w:vMerge w:val="restart"/>
          </w:tcPr>
          <w:p w:rsidR="00CA3692" w:rsidRPr="000C6386" w:rsidRDefault="00CA3692" w:rsidP="00CA3692">
            <w:pPr>
              <w:rPr>
                <w:sz w:val="16"/>
                <w:szCs w:val="18"/>
              </w:rPr>
            </w:pPr>
            <w:r w:rsidRPr="000C6386">
              <w:rPr>
                <w:rFonts w:hint="eastAsia"/>
                <w:sz w:val="16"/>
                <w:szCs w:val="18"/>
              </w:rPr>
              <w:t>【進路指導】</w:t>
            </w:r>
          </w:p>
          <w:p w:rsidR="00B94651" w:rsidRDefault="00B94651" w:rsidP="00B00B24">
            <w:pPr>
              <w:ind w:left="160" w:hangingChars="100" w:hanging="160"/>
              <w:rPr>
                <w:sz w:val="17"/>
                <w:szCs w:val="17"/>
              </w:rPr>
            </w:pPr>
            <w:r>
              <w:rPr>
                <w:rFonts w:hint="eastAsia"/>
                <w:sz w:val="16"/>
                <w:szCs w:val="18"/>
              </w:rPr>
              <w:t>・職業観・勤労観が未熟な生徒が多い。</w:t>
            </w:r>
          </w:p>
          <w:p w:rsidR="005545EC" w:rsidRDefault="00CA3692" w:rsidP="00B00B24">
            <w:pPr>
              <w:ind w:left="170" w:hangingChars="100" w:hanging="170"/>
              <w:rPr>
                <w:sz w:val="16"/>
                <w:szCs w:val="18"/>
              </w:rPr>
            </w:pPr>
            <w:r w:rsidRPr="000C6386">
              <w:rPr>
                <w:rFonts w:hint="eastAsia"/>
                <w:sz w:val="17"/>
                <w:szCs w:val="17"/>
              </w:rPr>
              <w:t>・</w:t>
            </w:r>
            <w:r w:rsidR="005545EC">
              <w:rPr>
                <w:rFonts w:hint="eastAsia"/>
                <w:sz w:val="16"/>
                <w:szCs w:val="18"/>
              </w:rPr>
              <w:t>自己理解の不足から、進路目標を明確に出来ない生徒が多い。</w:t>
            </w:r>
          </w:p>
          <w:p w:rsidR="00CA3692" w:rsidRPr="00670C4D" w:rsidRDefault="00CA3692" w:rsidP="005545EC">
            <w:pPr>
              <w:rPr>
                <w:color w:val="FF0000"/>
                <w:sz w:val="16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3692" w:rsidRPr="00751A6A" w:rsidRDefault="00CA3692" w:rsidP="00B00B24">
            <w:pPr>
              <w:spacing w:line="200" w:lineRule="exact"/>
              <w:ind w:left="240" w:hangingChars="150" w:hanging="240"/>
              <w:rPr>
                <w:rFonts w:asciiTheme="minorEastAsia" w:hAnsiTheme="minorEastAsia"/>
                <w:sz w:val="16"/>
                <w:szCs w:val="18"/>
              </w:rPr>
            </w:pPr>
            <w:r w:rsidRPr="00751A6A">
              <w:rPr>
                <w:rFonts w:asciiTheme="minorEastAsia" w:hAnsiTheme="minorEastAsia" w:hint="eastAsia"/>
                <w:sz w:val="16"/>
                <w:szCs w:val="18"/>
              </w:rPr>
              <w:t>(1)</w:t>
            </w:r>
            <w:r w:rsidR="005545EC" w:rsidRPr="004645CC">
              <w:rPr>
                <w:rFonts w:asciiTheme="minorEastAsia" w:hAnsiTheme="minorEastAsia" w:hint="eastAsia"/>
                <w:sz w:val="16"/>
                <w:szCs w:val="18"/>
              </w:rPr>
              <w:t>職業観の</w:t>
            </w:r>
            <w:r w:rsidR="005545EC">
              <w:rPr>
                <w:rFonts w:asciiTheme="minorEastAsia" w:hAnsiTheme="minorEastAsia" w:hint="eastAsia"/>
                <w:sz w:val="16"/>
                <w:szCs w:val="18"/>
              </w:rPr>
              <w:t>育成</w:t>
            </w:r>
            <w:r w:rsidR="005545EC" w:rsidRPr="004645CC">
              <w:rPr>
                <w:rFonts w:asciiTheme="minorEastAsia" w:hAnsiTheme="minorEastAsia" w:hint="eastAsia"/>
                <w:sz w:val="16"/>
                <w:szCs w:val="18"/>
              </w:rPr>
              <w:t>・進路意識の高揚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CA3692" w:rsidRPr="000C6386" w:rsidRDefault="00CA3692" w:rsidP="00B00B24">
            <w:pPr>
              <w:spacing w:line="2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①</w:t>
            </w:r>
            <w:r w:rsidR="005545EC" w:rsidRPr="004645CC">
              <w:rPr>
                <w:rFonts w:hint="eastAsia"/>
                <w:sz w:val="16"/>
                <w:szCs w:val="18"/>
              </w:rPr>
              <w:t>行事</w:t>
            </w:r>
            <w:r w:rsidR="005545EC">
              <w:rPr>
                <w:rFonts w:hint="eastAsia"/>
                <w:sz w:val="16"/>
                <w:szCs w:val="18"/>
              </w:rPr>
              <w:t>内容を検討・</w:t>
            </w:r>
            <w:r w:rsidR="005545EC" w:rsidRPr="004645CC">
              <w:rPr>
                <w:rFonts w:hint="eastAsia"/>
                <w:sz w:val="16"/>
                <w:szCs w:val="18"/>
              </w:rPr>
              <w:t>改善し、職業観の</w:t>
            </w:r>
            <w:r w:rsidR="005545EC">
              <w:rPr>
                <w:rFonts w:hint="eastAsia"/>
                <w:sz w:val="16"/>
                <w:szCs w:val="18"/>
              </w:rPr>
              <w:t>育成</w:t>
            </w:r>
            <w:r w:rsidR="005545EC" w:rsidRPr="004645CC">
              <w:rPr>
                <w:rFonts w:hint="eastAsia"/>
                <w:sz w:val="16"/>
                <w:szCs w:val="18"/>
              </w:rPr>
              <w:t>、進路意識の高揚を図る</w:t>
            </w:r>
            <w:r w:rsidR="005545EC">
              <w:rPr>
                <w:rFonts w:hint="eastAsia"/>
                <w:sz w:val="16"/>
                <w:szCs w:val="18"/>
              </w:rPr>
              <w:t>。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5545EC" w:rsidRDefault="00CA3692" w:rsidP="005545EC">
            <w:pPr>
              <w:spacing w:line="2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</w:t>
            </w:r>
            <w:r w:rsidR="005545EC" w:rsidRPr="004645CC">
              <w:rPr>
                <w:rFonts w:hint="eastAsia"/>
                <w:sz w:val="16"/>
                <w:szCs w:val="18"/>
              </w:rPr>
              <w:t>各行事のアンケートおよび作文等の評価結果</w:t>
            </w:r>
          </w:p>
          <w:p w:rsidR="00CA3692" w:rsidRPr="005545EC" w:rsidRDefault="00CA3692" w:rsidP="00CA3692">
            <w:pPr>
              <w:spacing w:line="200" w:lineRule="exact"/>
              <w:ind w:left="160" w:hangingChars="100" w:hanging="160"/>
              <w:rPr>
                <w:sz w:val="16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692" w:rsidRPr="00CD7CA9" w:rsidRDefault="00CA3692" w:rsidP="00CA3692">
            <w:pPr>
              <w:rPr>
                <w:sz w:val="16"/>
                <w:szCs w:val="16"/>
              </w:rPr>
            </w:pPr>
            <w:r w:rsidRPr="00CD7CA9">
              <w:rPr>
                <w:rFonts w:hint="eastAsia"/>
                <w:sz w:val="16"/>
                <w:szCs w:val="16"/>
              </w:rPr>
              <w:t>・</w:t>
            </w:r>
            <w:bookmarkStart w:id="0" w:name="_GoBack"/>
            <w:bookmarkEnd w:id="0"/>
          </w:p>
        </w:tc>
        <w:tc>
          <w:tcPr>
            <w:tcW w:w="709" w:type="dxa"/>
            <w:vMerge w:val="restart"/>
          </w:tcPr>
          <w:p w:rsidR="00CA3692" w:rsidRDefault="00CA3692" w:rsidP="00CA3692">
            <w:pPr>
              <w:jc w:val="center"/>
              <w:rPr>
                <w:sz w:val="18"/>
                <w:szCs w:val="18"/>
              </w:rPr>
            </w:pPr>
          </w:p>
          <w:p w:rsidR="00CA3692" w:rsidRDefault="00CA3692" w:rsidP="00CA3692">
            <w:pPr>
              <w:jc w:val="center"/>
              <w:rPr>
                <w:sz w:val="18"/>
                <w:szCs w:val="18"/>
              </w:rPr>
            </w:pPr>
          </w:p>
          <w:p w:rsidR="00CA3692" w:rsidRPr="00375D95" w:rsidRDefault="00CA3692" w:rsidP="00CA36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31" w:type="dxa"/>
            <w:vMerge w:val="restart"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  <w:r w:rsidRPr="007952D5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237" w:type="dxa"/>
            <w:vMerge w:val="restart"/>
            <w:tcBorders>
              <w:top w:val="nil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CA3692" w:rsidTr="00CF3A87">
        <w:trPr>
          <w:trHeight w:val="843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A3692" w:rsidRPr="00670C4D" w:rsidRDefault="00CA3692" w:rsidP="00CA3692">
            <w:pPr>
              <w:rPr>
                <w:color w:val="FF0000"/>
                <w:sz w:val="16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A3692" w:rsidRPr="000C6386" w:rsidRDefault="00CA3692" w:rsidP="00CA3692">
            <w:pPr>
              <w:spacing w:line="200" w:lineRule="exact"/>
              <w:rPr>
                <w:sz w:val="16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:rsidR="00CA3692" w:rsidRPr="000C6386" w:rsidRDefault="00CA3692" w:rsidP="00B00B24">
            <w:pPr>
              <w:pStyle w:val="ab"/>
              <w:ind w:left="160" w:hangingChars="100" w:hanging="160"/>
            </w:pPr>
            <w:r w:rsidRPr="00D37DAE">
              <w:rPr>
                <w:rFonts w:hint="eastAsia"/>
                <w:sz w:val="16"/>
                <w:szCs w:val="16"/>
              </w:rPr>
              <w:t>②</w:t>
            </w:r>
            <w:r w:rsidR="005545EC" w:rsidRPr="004645CC">
              <w:rPr>
                <w:rFonts w:hint="eastAsia"/>
                <w:sz w:val="16"/>
                <w:szCs w:val="16"/>
              </w:rPr>
              <w:t>勤務先調査を実施するとともに、昼間の時間を効果的に活用するよう働きかけ、働くことの意味を考えさせる。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:rsidR="005545EC" w:rsidRPr="004645CC" w:rsidRDefault="00CA3692" w:rsidP="005545EC">
            <w:pPr>
              <w:spacing w:line="2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</w:t>
            </w:r>
            <w:r w:rsidR="00252669">
              <w:rPr>
                <w:rFonts w:hint="eastAsia"/>
                <w:sz w:val="16"/>
                <w:szCs w:val="18"/>
              </w:rPr>
              <w:t>勤務先調査の結果で就労率</w:t>
            </w:r>
            <w:r w:rsidR="001047EE">
              <w:rPr>
                <w:rFonts w:hint="eastAsia"/>
                <w:sz w:val="16"/>
                <w:szCs w:val="18"/>
              </w:rPr>
              <w:t>75</w:t>
            </w:r>
            <w:r w:rsidR="005545EC" w:rsidRPr="004645CC">
              <w:rPr>
                <w:rFonts w:hint="eastAsia"/>
                <w:sz w:val="16"/>
                <w:szCs w:val="18"/>
              </w:rPr>
              <w:t>％以上</w:t>
            </w:r>
          </w:p>
          <w:p w:rsidR="00CA3692" w:rsidRPr="000C6386" w:rsidRDefault="005545EC" w:rsidP="005545EC">
            <w:pPr>
              <w:spacing w:line="200" w:lineRule="exact"/>
              <w:ind w:left="160" w:hangingChars="100" w:hanging="160"/>
              <w:rPr>
                <w:sz w:val="16"/>
                <w:szCs w:val="18"/>
              </w:rPr>
            </w:pPr>
            <w:r w:rsidRPr="004645CC">
              <w:rPr>
                <w:rFonts w:hint="eastAsia"/>
                <w:sz w:val="16"/>
                <w:szCs w:val="18"/>
              </w:rPr>
              <w:t>・職業観に関する生徒アンケート結果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031" w:type="dxa"/>
            <w:vMerge/>
            <w:tcBorders>
              <w:bottom w:val="single" w:sz="4" w:space="0" w:color="auto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</w:tr>
      <w:tr w:rsidR="00CA3692" w:rsidTr="00FC077C">
        <w:tc>
          <w:tcPr>
            <w:tcW w:w="534" w:type="dxa"/>
            <w:vMerge/>
            <w:vAlign w:val="center"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CA3692" w:rsidRPr="00670C4D" w:rsidRDefault="00CA3692" w:rsidP="00CA3692">
            <w:pPr>
              <w:rPr>
                <w:color w:val="FF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A3692" w:rsidRPr="00751A6A" w:rsidRDefault="00CA3692" w:rsidP="00B00B24">
            <w:pPr>
              <w:spacing w:line="200" w:lineRule="exact"/>
              <w:ind w:left="240" w:hangingChars="150" w:hanging="240"/>
              <w:rPr>
                <w:rFonts w:asciiTheme="minorEastAsia" w:hAnsiTheme="minorEastAsia"/>
                <w:sz w:val="16"/>
                <w:szCs w:val="18"/>
              </w:rPr>
            </w:pPr>
            <w:r w:rsidRPr="00751A6A">
              <w:rPr>
                <w:rFonts w:asciiTheme="minorEastAsia" w:hAnsiTheme="minorEastAsia" w:hint="eastAsia"/>
                <w:sz w:val="16"/>
                <w:szCs w:val="18"/>
              </w:rPr>
              <w:t>(2)</w:t>
            </w:r>
            <w:r w:rsidR="005545EC" w:rsidRPr="004645CC">
              <w:rPr>
                <w:rFonts w:asciiTheme="minorEastAsia" w:hAnsiTheme="minorEastAsia" w:hint="eastAsia"/>
                <w:sz w:val="16"/>
                <w:szCs w:val="18"/>
              </w:rPr>
              <w:t>自己理解の深化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A3692" w:rsidRPr="00D37DAE" w:rsidRDefault="00CA3692" w:rsidP="00B00B24">
            <w:pPr>
              <w:ind w:left="160" w:hangingChars="100" w:hanging="160"/>
              <w:rPr>
                <w:sz w:val="16"/>
                <w:szCs w:val="16"/>
              </w:rPr>
            </w:pPr>
            <w:r w:rsidRPr="00D37DAE">
              <w:rPr>
                <w:rFonts w:hint="eastAsia"/>
                <w:sz w:val="16"/>
                <w:szCs w:val="16"/>
              </w:rPr>
              <w:t>①</w:t>
            </w:r>
            <w:r w:rsidR="005545EC">
              <w:rPr>
                <w:rFonts w:hint="eastAsia"/>
                <w:sz w:val="16"/>
                <w:szCs w:val="16"/>
              </w:rPr>
              <w:t>ＬＨＲや</w:t>
            </w:r>
            <w:r w:rsidR="005545EC" w:rsidRPr="004645CC">
              <w:rPr>
                <w:rFonts w:hint="eastAsia"/>
                <w:sz w:val="16"/>
                <w:szCs w:val="16"/>
              </w:rPr>
              <w:t>総合的な学習の時間</w:t>
            </w:r>
            <w:r w:rsidR="00B94651">
              <w:rPr>
                <w:rFonts w:hint="eastAsia"/>
                <w:sz w:val="16"/>
                <w:szCs w:val="16"/>
              </w:rPr>
              <w:t>等</w:t>
            </w:r>
            <w:r w:rsidR="005545EC" w:rsidRPr="004645CC">
              <w:rPr>
                <w:rFonts w:hint="eastAsia"/>
                <w:sz w:val="16"/>
                <w:szCs w:val="16"/>
              </w:rPr>
              <w:t>における取組や適性検査の結果の面談等へ効果的活用を図る。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545EC" w:rsidRPr="004645CC" w:rsidRDefault="00CA3692" w:rsidP="005545EC">
            <w:pPr>
              <w:spacing w:line="200" w:lineRule="exact"/>
              <w:ind w:left="160" w:hangingChars="100" w:hanging="160"/>
              <w:rPr>
                <w:sz w:val="16"/>
                <w:szCs w:val="18"/>
              </w:rPr>
            </w:pPr>
            <w:r w:rsidRPr="000C6386">
              <w:rPr>
                <w:rFonts w:hint="eastAsia"/>
                <w:sz w:val="16"/>
                <w:szCs w:val="18"/>
              </w:rPr>
              <w:t>・</w:t>
            </w:r>
            <w:r w:rsidR="005545EC" w:rsidRPr="004645CC">
              <w:rPr>
                <w:rFonts w:hint="eastAsia"/>
                <w:sz w:val="16"/>
                <w:szCs w:val="18"/>
              </w:rPr>
              <w:t>職業観に関する生徒アンケート結果</w:t>
            </w:r>
          </w:p>
          <w:p w:rsidR="00CA3692" w:rsidRPr="000C6386" w:rsidRDefault="005545EC" w:rsidP="00F937C7">
            <w:pPr>
              <w:spacing w:line="200" w:lineRule="exact"/>
              <w:ind w:left="160" w:hangingChars="100" w:hanging="160"/>
              <w:rPr>
                <w:sz w:val="16"/>
                <w:szCs w:val="18"/>
              </w:rPr>
            </w:pPr>
            <w:r w:rsidRPr="004645CC">
              <w:rPr>
                <w:rFonts w:hint="eastAsia"/>
                <w:sz w:val="16"/>
                <w:szCs w:val="18"/>
              </w:rPr>
              <w:t>・進路希望調査における未定者の減少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92" w:rsidRPr="00CD7CA9" w:rsidRDefault="00CA3692" w:rsidP="00CA3692">
            <w:pPr>
              <w:rPr>
                <w:sz w:val="16"/>
                <w:szCs w:val="16"/>
              </w:rPr>
            </w:pPr>
            <w:r w:rsidRPr="00CD7CA9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A3692" w:rsidRDefault="00CA3692" w:rsidP="00CA3692">
            <w:pPr>
              <w:jc w:val="center"/>
              <w:rPr>
                <w:sz w:val="18"/>
                <w:szCs w:val="18"/>
              </w:rPr>
            </w:pPr>
          </w:p>
          <w:p w:rsidR="00CA3692" w:rsidRPr="00375D95" w:rsidRDefault="00CA3692" w:rsidP="00CA36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</w:tcPr>
          <w:p w:rsidR="00CA3692" w:rsidRPr="007952D5" w:rsidRDefault="00CA3692" w:rsidP="00CA3692">
            <w:pPr>
              <w:rPr>
                <w:sz w:val="16"/>
                <w:szCs w:val="16"/>
              </w:rPr>
            </w:pPr>
            <w:r w:rsidRPr="007952D5"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A3692" w:rsidRPr="00375D95" w:rsidRDefault="00CA3692" w:rsidP="00CA3692">
            <w:pPr>
              <w:rPr>
                <w:sz w:val="18"/>
                <w:szCs w:val="18"/>
              </w:rPr>
            </w:pPr>
          </w:p>
        </w:tc>
      </w:tr>
    </w:tbl>
    <w:p w:rsidR="00CD3D18" w:rsidRPr="008E5C56" w:rsidRDefault="00CD3D18" w:rsidP="008116C2">
      <w:pPr>
        <w:rPr>
          <w:rFonts w:asciiTheme="majorEastAsia" w:eastAsiaTheme="majorEastAsia" w:hAnsiTheme="majorEastAsia"/>
          <w:sz w:val="24"/>
          <w:szCs w:val="24"/>
        </w:rPr>
      </w:pPr>
    </w:p>
    <w:sectPr w:rsidR="00CD3D18" w:rsidRPr="008E5C56" w:rsidSect="008116C2">
      <w:pgSz w:w="16838" w:h="11906" w:orient="landscape" w:code="9"/>
      <w:pgMar w:top="397" w:right="567" w:bottom="39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C19" w:rsidRDefault="00925C19" w:rsidP="00B44B7E">
      <w:r>
        <w:separator/>
      </w:r>
    </w:p>
  </w:endnote>
  <w:endnote w:type="continuationSeparator" w:id="0">
    <w:p w:rsidR="00925C19" w:rsidRDefault="00925C19" w:rsidP="00B4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C19" w:rsidRDefault="00925C19" w:rsidP="00B44B7E">
      <w:r>
        <w:separator/>
      </w:r>
    </w:p>
  </w:footnote>
  <w:footnote w:type="continuationSeparator" w:id="0">
    <w:p w:rsidR="00925C19" w:rsidRDefault="00925C19" w:rsidP="00B4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455E"/>
    <w:multiLevelType w:val="hybridMultilevel"/>
    <w:tmpl w:val="6C16E758"/>
    <w:lvl w:ilvl="0" w:tplc="2194AF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3E3D56"/>
    <w:multiLevelType w:val="hybridMultilevel"/>
    <w:tmpl w:val="CE0AEFC8"/>
    <w:lvl w:ilvl="0" w:tplc="739A3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725F80"/>
    <w:multiLevelType w:val="hybridMultilevel"/>
    <w:tmpl w:val="2436725E"/>
    <w:lvl w:ilvl="0" w:tplc="AB6A92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B3711B"/>
    <w:multiLevelType w:val="hybridMultilevel"/>
    <w:tmpl w:val="A79441D0"/>
    <w:lvl w:ilvl="0" w:tplc="02082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EF6CC8"/>
    <w:multiLevelType w:val="hybridMultilevel"/>
    <w:tmpl w:val="1794E644"/>
    <w:lvl w:ilvl="0" w:tplc="AF086B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842FAD"/>
    <w:multiLevelType w:val="hybridMultilevel"/>
    <w:tmpl w:val="6882B126"/>
    <w:lvl w:ilvl="0" w:tplc="7DD4B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867807"/>
    <w:multiLevelType w:val="hybridMultilevel"/>
    <w:tmpl w:val="ABF699B8"/>
    <w:lvl w:ilvl="0" w:tplc="9196D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77"/>
    <w:rsid w:val="000404B7"/>
    <w:rsid w:val="000676CF"/>
    <w:rsid w:val="0007078F"/>
    <w:rsid w:val="00086FBD"/>
    <w:rsid w:val="00092A0D"/>
    <w:rsid w:val="000938AD"/>
    <w:rsid w:val="000B08A9"/>
    <w:rsid w:val="000C107E"/>
    <w:rsid w:val="000C6386"/>
    <w:rsid w:val="001047EE"/>
    <w:rsid w:val="00105F1B"/>
    <w:rsid w:val="0010759E"/>
    <w:rsid w:val="00112A58"/>
    <w:rsid w:val="00132E9B"/>
    <w:rsid w:val="00150831"/>
    <w:rsid w:val="00176AA2"/>
    <w:rsid w:val="00177244"/>
    <w:rsid w:val="001A4E3E"/>
    <w:rsid w:val="001E76F6"/>
    <w:rsid w:val="001F1C0D"/>
    <w:rsid w:val="001F5D12"/>
    <w:rsid w:val="0020635D"/>
    <w:rsid w:val="00223EF1"/>
    <w:rsid w:val="00252669"/>
    <w:rsid w:val="00253DDD"/>
    <w:rsid w:val="002757E1"/>
    <w:rsid w:val="00283080"/>
    <w:rsid w:val="002830AD"/>
    <w:rsid w:val="002A34B5"/>
    <w:rsid w:val="002D4CDE"/>
    <w:rsid w:val="002D798C"/>
    <w:rsid w:val="003119DE"/>
    <w:rsid w:val="00347285"/>
    <w:rsid w:val="00373DB5"/>
    <w:rsid w:val="00375D95"/>
    <w:rsid w:val="003F3A74"/>
    <w:rsid w:val="00402D97"/>
    <w:rsid w:val="00413C21"/>
    <w:rsid w:val="00423AEC"/>
    <w:rsid w:val="004279FF"/>
    <w:rsid w:val="0044249C"/>
    <w:rsid w:val="00483C24"/>
    <w:rsid w:val="004926AB"/>
    <w:rsid w:val="004A0D36"/>
    <w:rsid w:val="004B22C4"/>
    <w:rsid w:val="004C6CCF"/>
    <w:rsid w:val="004E2B63"/>
    <w:rsid w:val="004E2D6C"/>
    <w:rsid w:val="00516199"/>
    <w:rsid w:val="00521AB8"/>
    <w:rsid w:val="00523865"/>
    <w:rsid w:val="00533F2E"/>
    <w:rsid w:val="00540B3A"/>
    <w:rsid w:val="00553467"/>
    <w:rsid w:val="005545EC"/>
    <w:rsid w:val="00570BB2"/>
    <w:rsid w:val="005C4EA8"/>
    <w:rsid w:val="005E0D9E"/>
    <w:rsid w:val="006261F5"/>
    <w:rsid w:val="00631A33"/>
    <w:rsid w:val="00633681"/>
    <w:rsid w:val="006423AD"/>
    <w:rsid w:val="006424EC"/>
    <w:rsid w:val="0065380D"/>
    <w:rsid w:val="00657F49"/>
    <w:rsid w:val="00660FA8"/>
    <w:rsid w:val="00665877"/>
    <w:rsid w:val="00670C4D"/>
    <w:rsid w:val="0067417F"/>
    <w:rsid w:val="00684A04"/>
    <w:rsid w:val="006C0B54"/>
    <w:rsid w:val="007058A7"/>
    <w:rsid w:val="00710CC6"/>
    <w:rsid w:val="007359FF"/>
    <w:rsid w:val="00751A6A"/>
    <w:rsid w:val="007952D5"/>
    <w:rsid w:val="007A7DE5"/>
    <w:rsid w:val="007A7EAA"/>
    <w:rsid w:val="007D037D"/>
    <w:rsid w:val="007E742D"/>
    <w:rsid w:val="008116C2"/>
    <w:rsid w:val="008963BF"/>
    <w:rsid w:val="008D32E2"/>
    <w:rsid w:val="008E5C56"/>
    <w:rsid w:val="00925C19"/>
    <w:rsid w:val="00957848"/>
    <w:rsid w:val="00961692"/>
    <w:rsid w:val="00983084"/>
    <w:rsid w:val="009A5EE2"/>
    <w:rsid w:val="009C2322"/>
    <w:rsid w:val="009C44F2"/>
    <w:rsid w:val="009F722A"/>
    <w:rsid w:val="00A41CB3"/>
    <w:rsid w:val="00A904E9"/>
    <w:rsid w:val="00AB6CF0"/>
    <w:rsid w:val="00AC026D"/>
    <w:rsid w:val="00AC2D9A"/>
    <w:rsid w:val="00AD1AE6"/>
    <w:rsid w:val="00AD2CBB"/>
    <w:rsid w:val="00AE502E"/>
    <w:rsid w:val="00B0028D"/>
    <w:rsid w:val="00B00B24"/>
    <w:rsid w:val="00B211E2"/>
    <w:rsid w:val="00B213F6"/>
    <w:rsid w:val="00B2739F"/>
    <w:rsid w:val="00B34EA9"/>
    <w:rsid w:val="00B44B7E"/>
    <w:rsid w:val="00B45BA9"/>
    <w:rsid w:val="00B8728B"/>
    <w:rsid w:val="00B94651"/>
    <w:rsid w:val="00B9535C"/>
    <w:rsid w:val="00BC3A18"/>
    <w:rsid w:val="00BE26AB"/>
    <w:rsid w:val="00C142C5"/>
    <w:rsid w:val="00C1790E"/>
    <w:rsid w:val="00C31554"/>
    <w:rsid w:val="00C45EE4"/>
    <w:rsid w:val="00C6456A"/>
    <w:rsid w:val="00CA3692"/>
    <w:rsid w:val="00CB7C50"/>
    <w:rsid w:val="00CC3EDC"/>
    <w:rsid w:val="00CD1F62"/>
    <w:rsid w:val="00CD2436"/>
    <w:rsid w:val="00CD3D18"/>
    <w:rsid w:val="00CD7CA9"/>
    <w:rsid w:val="00CE6B12"/>
    <w:rsid w:val="00CF3A87"/>
    <w:rsid w:val="00D210BC"/>
    <w:rsid w:val="00D37DAE"/>
    <w:rsid w:val="00D53632"/>
    <w:rsid w:val="00D64B36"/>
    <w:rsid w:val="00D766AC"/>
    <w:rsid w:val="00D927A1"/>
    <w:rsid w:val="00DB42DF"/>
    <w:rsid w:val="00DC15C7"/>
    <w:rsid w:val="00DC4E9F"/>
    <w:rsid w:val="00DD345E"/>
    <w:rsid w:val="00DD3DBD"/>
    <w:rsid w:val="00E02029"/>
    <w:rsid w:val="00E02245"/>
    <w:rsid w:val="00E22C19"/>
    <w:rsid w:val="00E23C13"/>
    <w:rsid w:val="00E366C8"/>
    <w:rsid w:val="00E52FEB"/>
    <w:rsid w:val="00E56907"/>
    <w:rsid w:val="00E61FE9"/>
    <w:rsid w:val="00E73795"/>
    <w:rsid w:val="00E8640D"/>
    <w:rsid w:val="00E86D0B"/>
    <w:rsid w:val="00E920AF"/>
    <w:rsid w:val="00E97FC0"/>
    <w:rsid w:val="00ED1665"/>
    <w:rsid w:val="00EF1945"/>
    <w:rsid w:val="00EF65BB"/>
    <w:rsid w:val="00EF79EA"/>
    <w:rsid w:val="00F018F0"/>
    <w:rsid w:val="00F049B4"/>
    <w:rsid w:val="00F06DCA"/>
    <w:rsid w:val="00F07DA3"/>
    <w:rsid w:val="00F423A2"/>
    <w:rsid w:val="00F82F48"/>
    <w:rsid w:val="00F87EC2"/>
    <w:rsid w:val="00F937C7"/>
    <w:rsid w:val="00FC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2CBB24F"/>
  <w15:docId w15:val="{1F8FFB07-8483-4F1E-9183-C3C148A1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E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DA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57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57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4B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4B7E"/>
  </w:style>
  <w:style w:type="paragraph" w:styleId="a8">
    <w:name w:val="footer"/>
    <w:basedOn w:val="a"/>
    <w:link w:val="a9"/>
    <w:uiPriority w:val="99"/>
    <w:unhideWhenUsed/>
    <w:rsid w:val="00B44B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4B7E"/>
  </w:style>
  <w:style w:type="paragraph" w:styleId="aa">
    <w:name w:val="List Paragraph"/>
    <w:basedOn w:val="a"/>
    <w:uiPriority w:val="34"/>
    <w:qFormat/>
    <w:rsid w:val="00E366C8"/>
    <w:pPr>
      <w:ind w:leftChars="400" w:left="840"/>
    </w:pPr>
  </w:style>
  <w:style w:type="paragraph" w:styleId="ab">
    <w:name w:val="No Spacing"/>
    <w:uiPriority w:val="1"/>
    <w:qFormat/>
    <w:rsid w:val="00D37DA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D37DA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B2013-8979-42CD-AABD-764646E9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栃木県教育委員会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ueki-a01</dc:creator>
  <cp:lastModifiedBy>大牧 稔</cp:lastModifiedBy>
  <cp:revision>4</cp:revision>
  <cp:lastPrinted>2018-05-14T11:20:00Z</cp:lastPrinted>
  <dcterms:created xsi:type="dcterms:W3CDTF">2018-05-14T08:42:00Z</dcterms:created>
  <dcterms:modified xsi:type="dcterms:W3CDTF">2018-05-14T11:33:00Z</dcterms:modified>
</cp:coreProperties>
</file>